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CE5" w:rsidRDefault="00B55CE5" w:rsidP="00B55CE5">
      <w:pPr>
        <w:pStyle w:val="NoSpacing"/>
        <w:ind w:right="10"/>
        <w:rPr>
          <w:rFonts w:ascii="Times New Roman" w:hAnsi="Times New Roman" w:cs="Times New Roman"/>
          <w:b/>
          <w:sz w:val="28"/>
          <w:szCs w:val="28"/>
          <w:lang w:val="es-PE"/>
        </w:rPr>
      </w:pPr>
      <w:r>
        <w:rPr>
          <w:rFonts w:ascii="Times New Roman" w:hAnsi="Times New Roman" w:cs="Times New Roman"/>
          <w:b/>
          <w:sz w:val="28"/>
          <w:szCs w:val="28"/>
          <w:lang w:val="es-PE"/>
        </w:rPr>
        <w:t>Tarifa de 1778 – 1801</w:t>
      </w:r>
    </w:p>
    <w:p w:rsidR="00B55CE5" w:rsidRDefault="00B55CE5" w:rsidP="00B55CE5">
      <w:pPr>
        <w:pStyle w:val="NoSpacing"/>
        <w:ind w:right="10"/>
        <w:rPr>
          <w:rFonts w:ascii="Times New Roman" w:hAnsi="Times New Roman" w:cs="Times New Roman"/>
          <w:b/>
          <w:sz w:val="28"/>
          <w:szCs w:val="28"/>
          <w:lang w:val="es-PE"/>
        </w:rPr>
      </w:pPr>
      <w:r>
        <w:rPr>
          <w:rFonts w:ascii="Times New Roman" w:hAnsi="Times New Roman" w:cs="Times New Roman"/>
          <w:b/>
          <w:sz w:val="28"/>
          <w:szCs w:val="28"/>
          <w:lang w:val="es-PE"/>
        </w:rPr>
        <w:t xml:space="preserve">Portes del  Correo Terrestre.  </w:t>
      </w:r>
    </w:p>
    <w:p w:rsidR="00B55CE5" w:rsidRDefault="00B55CE5" w:rsidP="00B55CE5">
      <w:pPr>
        <w:pStyle w:val="NoSpacing"/>
        <w:ind w:right="10"/>
        <w:jc w:val="center"/>
        <w:rPr>
          <w:b/>
          <w:lang w:val="es-PE"/>
        </w:rPr>
      </w:pPr>
    </w:p>
    <w:p w:rsidR="00B55CE5" w:rsidRDefault="00B55CE5" w:rsidP="00B55CE5">
      <w:pPr>
        <w:pStyle w:val="NoSpacing"/>
        <w:ind w:right="10"/>
        <w:jc w:val="center"/>
        <w:rPr>
          <w:sz w:val="18"/>
          <w:szCs w:val="18"/>
          <w:lang w:val="es-PE"/>
        </w:rPr>
      </w:pPr>
      <w:r>
        <w:rPr>
          <w:sz w:val="18"/>
          <w:szCs w:val="18"/>
          <w:lang w:val="es-PE"/>
        </w:rPr>
        <w:t>Portes en reales de plata</w:t>
      </w:r>
    </w:p>
    <w:p w:rsidR="00B55CE5" w:rsidRDefault="00B55CE5" w:rsidP="00B55CE5">
      <w:pPr>
        <w:pStyle w:val="NoSpacing"/>
        <w:ind w:right="10"/>
        <w:jc w:val="both"/>
        <w:rPr>
          <w:sz w:val="22"/>
          <w:szCs w:val="22"/>
          <w:lang w:val="es-PE"/>
        </w:rPr>
      </w:pPr>
      <w:r>
        <w:rPr>
          <w:sz w:val="18"/>
          <w:szCs w:val="18"/>
          <w:lang w:val="es-PE"/>
        </w:rPr>
        <w:t xml:space="preserve">Reglamento, que se ha de observar en la cobranza de los portes de tierra de las cartas, pliegos y paquetes, que llegan de la interior de las Provincias, y se conducen de unos a otros oficios de la comprensión de los </w:t>
      </w:r>
      <w:proofErr w:type="spellStart"/>
      <w:r>
        <w:rPr>
          <w:sz w:val="18"/>
          <w:szCs w:val="18"/>
          <w:lang w:val="es-PE"/>
        </w:rPr>
        <w:t>Reynos</w:t>
      </w:r>
      <w:proofErr w:type="spellEnd"/>
      <w:r>
        <w:rPr>
          <w:sz w:val="18"/>
          <w:szCs w:val="18"/>
          <w:lang w:val="es-PE"/>
        </w:rPr>
        <w:t xml:space="preserve"> del Perú y Chile; como así mismo los portes de mar, y sobre portes de las correspondencias ultramarinas: Derechos de certificación para todas partes: y de los fletes y derechos e encomiendas de plata, oro y </w:t>
      </w:r>
      <w:proofErr w:type="spellStart"/>
      <w:r>
        <w:rPr>
          <w:sz w:val="18"/>
          <w:szCs w:val="18"/>
          <w:lang w:val="es-PE"/>
        </w:rPr>
        <w:t>caxoncitos</w:t>
      </w:r>
      <w:proofErr w:type="spellEnd"/>
      <w:r>
        <w:rPr>
          <w:sz w:val="18"/>
          <w:szCs w:val="18"/>
          <w:lang w:val="es-PE"/>
        </w:rPr>
        <w:t>, efectos y géneros, que se remiten por los Correos ordinarios: dispuesto según el antiguo pie de la Tarifa, y costumbre que se ha seguido anteriormente, con atención a las distancias y costos de conducción  y de las Instrucciones  y Reales Ordenes que se han comunicado para el establecimiento y arreglo de los Correos de estos dominios, incorporados a la Real Corona en 1 de julio de 1769, y con distinción: es a saber:</w:t>
      </w:r>
    </w:p>
    <w:p w:rsidR="00B55CE5" w:rsidRDefault="00B55CE5" w:rsidP="00B55CE5">
      <w:pPr>
        <w:pStyle w:val="NoSpacing"/>
        <w:ind w:right="10"/>
        <w:rPr>
          <w:sz w:val="18"/>
          <w:szCs w:val="18"/>
          <w:lang w:val="es-PE"/>
        </w:rPr>
      </w:pPr>
    </w:p>
    <w:tbl>
      <w:tblPr>
        <w:tblStyle w:val="TableGrid"/>
        <w:tblW w:w="0" w:type="auto"/>
        <w:jc w:val="center"/>
        <w:tblLayout w:type="fixed"/>
        <w:tblLook w:val="04A0" w:firstRow="1" w:lastRow="0" w:firstColumn="1" w:lastColumn="0" w:noHBand="0" w:noVBand="1"/>
      </w:tblPr>
      <w:tblGrid>
        <w:gridCol w:w="3032"/>
        <w:gridCol w:w="974"/>
        <w:gridCol w:w="786"/>
        <w:gridCol w:w="880"/>
        <w:gridCol w:w="770"/>
      </w:tblGrid>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b/>
                <w:sz w:val="18"/>
                <w:szCs w:val="18"/>
                <w:lang w:val="es-PE"/>
              </w:rPr>
            </w:pPr>
            <w:r>
              <w:rPr>
                <w:b/>
                <w:sz w:val="18"/>
                <w:szCs w:val="18"/>
                <w:lang w:val="es-PE"/>
              </w:rPr>
              <w:t>CARRERAS DE HUANUCO Y BUENOS AIRES</w:t>
            </w:r>
          </w:p>
          <w:p w:rsidR="00B55CE5" w:rsidRDefault="00B55CE5" w:rsidP="00B55CE5">
            <w:pPr>
              <w:pStyle w:val="NoSpacing"/>
              <w:ind w:right="10"/>
              <w:rPr>
                <w:sz w:val="18"/>
                <w:szCs w:val="18"/>
                <w:lang w:val="es-PE"/>
              </w:rPr>
            </w:pPr>
            <w:r>
              <w:rPr>
                <w:sz w:val="18"/>
                <w:szCs w:val="18"/>
                <w:lang w:val="es-PE"/>
              </w:rPr>
              <w:t xml:space="preserve">Cartas de LIMA, Capital del </w:t>
            </w:r>
            <w:proofErr w:type="spellStart"/>
            <w:r>
              <w:rPr>
                <w:sz w:val="18"/>
                <w:szCs w:val="18"/>
                <w:lang w:val="es-PE"/>
              </w:rPr>
              <w:t>Reyno</w:t>
            </w:r>
            <w:proofErr w:type="spellEnd"/>
            <w:r>
              <w:rPr>
                <w:sz w:val="18"/>
                <w:szCs w:val="18"/>
                <w:lang w:val="es-PE"/>
              </w:rPr>
              <w:t xml:space="preserve"> del Perú</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Sencilla</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Doble</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Triple</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Onza</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A Pasco y Huamanga</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2</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2 ½ </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Huánuco y Cuzco</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2 ½ </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 xml:space="preserve">La Paz y </w:t>
            </w:r>
            <w:proofErr w:type="spellStart"/>
            <w:r>
              <w:rPr>
                <w:sz w:val="18"/>
                <w:szCs w:val="18"/>
                <w:lang w:val="es-PE"/>
              </w:rPr>
              <w:t>Conchucos</w:t>
            </w:r>
            <w:proofErr w:type="spellEnd"/>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5   </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Potosí y La Plata</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Tucumán</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9</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Buenos Aires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10</w:t>
            </w:r>
          </w:p>
        </w:tc>
      </w:tr>
      <w:tr w:rsidR="00B55CE5" w:rsidRPr="00D2529B"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b/>
                <w:sz w:val="18"/>
                <w:szCs w:val="18"/>
                <w:lang w:val="es-PE"/>
              </w:rPr>
            </w:pPr>
            <w:r>
              <w:rPr>
                <w:b/>
                <w:sz w:val="18"/>
                <w:szCs w:val="18"/>
                <w:lang w:val="es-PE"/>
              </w:rPr>
              <w:t>CAXAS INTERIORES</w:t>
            </w:r>
          </w:p>
          <w:p w:rsidR="00B55CE5" w:rsidRDefault="00B55CE5" w:rsidP="00B55CE5">
            <w:pPr>
              <w:pStyle w:val="NoSpacing"/>
              <w:ind w:right="10"/>
              <w:rPr>
                <w:b/>
                <w:sz w:val="18"/>
                <w:szCs w:val="18"/>
                <w:lang w:val="es-PE"/>
              </w:rPr>
            </w:pPr>
            <w:r>
              <w:rPr>
                <w:b/>
                <w:sz w:val="18"/>
                <w:szCs w:val="18"/>
                <w:lang w:val="es-PE"/>
              </w:rPr>
              <w:t>DE PASCO Y HUANUCO</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 xml:space="preserve">A Huamanga </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2</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2 ½ </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Cuzco</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2 ½ </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La Paz</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Potosí</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Tucumán</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7 </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9</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Buenos Aires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10</w:t>
            </w:r>
          </w:p>
        </w:tc>
      </w:tr>
      <w:tr w:rsidR="00B55CE5" w:rsidRPr="00D2529B"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b/>
                <w:sz w:val="18"/>
                <w:szCs w:val="18"/>
                <w:lang w:val="es-PE"/>
              </w:rPr>
            </w:pPr>
            <w:r>
              <w:rPr>
                <w:b/>
                <w:sz w:val="18"/>
                <w:szCs w:val="18"/>
                <w:lang w:val="es-PE"/>
              </w:rPr>
              <w:t>DE JAUJA, HUANCAVELICA, HUANTA Y HUAMANGA</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Al Cuzco</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2</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2 ½ </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La Paz</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2 ½ </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Potosí</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 xml:space="preserve">Tucumán </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Buenos Aires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9</w:t>
            </w:r>
          </w:p>
        </w:tc>
      </w:tr>
      <w:tr w:rsidR="00B55CE5" w:rsidRPr="00D2529B"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b/>
                <w:sz w:val="18"/>
                <w:szCs w:val="18"/>
                <w:lang w:val="es-PE"/>
              </w:rPr>
            </w:pPr>
            <w:r>
              <w:rPr>
                <w:b/>
                <w:sz w:val="18"/>
                <w:szCs w:val="18"/>
                <w:lang w:val="es-PE"/>
              </w:rPr>
              <w:t>DE ANDAHUAYLAS, ABANCAY Y CUZCO</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A La Paz</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2 </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2 ½ </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Potosí</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2 ½ </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Tucumán</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 xml:space="preserve">      8</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Buenos Aires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 ½</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9</w:t>
            </w:r>
          </w:p>
        </w:tc>
      </w:tr>
      <w:tr w:rsidR="00B55CE5" w:rsidRPr="00D2529B"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b/>
                <w:sz w:val="18"/>
                <w:szCs w:val="18"/>
                <w:lang w:val="es-PE"/>
              </w:rPr>
            </w:pPr>
            <w:r>
              <w:rPr>
                <w:b/>
                <w:sz w:val="18"/>
                <w:szCs w:val="18"/>
                <w:lang w:val="es-PE"/>
              </w:rPr>
              <w:t>DE AYAVIRI, PUNO, CHUCUITO, ILAVE Y LA PAZ</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A Potosí</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2</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2 ½ </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Tucumán</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Buenos Aires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r>
      <w:tr w:rsidR="00B55CE5" w:rsidRPr="00D2529B"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b/>
                <w:sz w:val="18"/>
                <w:szCs w:val="18"/>
                <w:lang w:val="es-PE"/>
              </w:rPr>
            </w:pPr>
            <w:r>
              <w:rPr>
                <w:b/>
                <w:sz w:val="18"/>
                <w:szCs w:val="18"/>
                <w:lang w:val="es-PE"/>
              </w:rPr>
              <w:t>DE ORURO, COCHABAMBA, CARANGAS, POTOSI Y LA PLATA</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Al Tucumán</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2 ½ </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Buenos Aires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De unas a otras Cajas entre sí, y las travesías comprendidas en los destinos anteriores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2</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2 ½ </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r>
      <w:tr w:rsidR="00B55CE5" w:rsidRPr="00D2529B"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b/>
                <w:sz w:val="18"/>
                <w:szCs w:val="18"/>
                <w:lang w:val="es-PE"/>
              </w:rPr>
            </w:pPr>
            <w:r>
              <w:rPr>
                <w:b/>
                <w:sz w:val="18"/>
                <w:szCs w:val="18"/>
                <w:lang w:val="es-PE"/>
              </w:rPr>
              <w:t>EXTRAVAGANTES</w:t>
            </w:r>
          </w:p>
          <w:p w:rsidR="00B55CE5" w:rsidRDefault="00B55CE5" w:rsidP="00B55CE5">
            <w:pPr>
              <w:pStyle w:val="NoSpacing"/>
              <w:ind w:right="10"/>
              <w:rPr>
                <w:sz w:val="18"/>
                <w:szCs w:val="18"/>
                <w:lang w:val="es-PE"/>
              </w:rPr>
            </w:pPr>
            <w:r>
              <w:rPr>
                <w:sz w:val="18"/>
                <w:szCs w:val="18"/>
                <w:lang w:val="es-PE"/>
              </w:rPr>
              <w:lastRenderedPageBreak/>
              <w:t>De todas las referidas Cajas para los destinos siguientes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lastRenderedPageBreak/>
              <w:t>Arequipa</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2 ½ </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Ica y Tacna</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Copiapó y Piura</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Quito</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9</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Cartagena de Indias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10</w:t>
            </w:r>
          </w:p>
        </w:tc>
      </w:tr>
      <w:tr w:rsidR="00B55CE5" w:rsidRPr="00D2529B"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b/>
                <w:sz w:val="18"/>
                <w:szCs w:val="18"/>
                <w:lang w:val="es-PE"/>
              </w:rPr>
            </w:pPr>
            <w:r>
              <w:rPr>
                <w:b/>
                <w:sz w:val="18"/>
                <w:szCs w:val="18"/>
                <w:lang w:val="es-PE"/>
              </w:rPr>
              <w:t>DE JUJUY, SALTA Y SAN MIGUEL DEL TUCUMAN</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A Buenos Aires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2 ½ </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Paraguay y Reino de Chile</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r>
      <w:tr w:rsidR="00B55CE5" w:rsidRPr="00D2529B"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b/>
                <w:sz w:val="18"/>
                <w:szCs w:val="18"/>
                <w:lang w:val="es-PE"/>
              </w:rPr>
            </w:pPr>
            <w:r>
              <w:rPr>
                <w:b/>
                <w:sz w:val="18"/>
                <w:szCs w:val="18"/>
                <w:lang w:val="es-PE"/>
              </w:rPr>
              <w:t>CARRERAS DEL PARAGUAY Y CHILE</w:t>
            </w:r>
          </w:p>
          <w:p w:rsidR="00B55CE5" w:rsidRDefault="00B55CE5" w:rsidP="00B55CE5">
            <w:pPr>
              <w:pStyle w:val="NoSpacing"/>
              <w:ind w:right="10"/>
              <w:rPr>
                <w:sz w:val="18"/>
                <w:szCs w:val="18"/>
                <w:lang w:val="es-PE"/>
              </w:rPr>
            </w:pPr>
            <w:r>
              <w:rPr>
                <w:b/>
                <w:sz w:val="18"/>
                <w:szCs w:val="18"/>
                <w:lang w:val="es-PE"/>
              </w:rPr>
              <w:t>DE SANTIAGO DEL ESTERO, CORDOBA Y BUENOS AIRES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A Corrientes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2</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2 ½ </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Mendoza y Paraguay</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2 ½ </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Chile</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b/>
                <w:sz w:val="18"/>
                <w:szCs w:val="18"/>
                <w:lang w:val="es-PE"/>
              </w:rPr>
            </w:pPr>
            <w:r>
              <w:rPr>
                <w:b/>
                <w:sz w:val="18"/>
                <w:szCs w:val="18"/>
                <w:lang w:val="es-PE"/>
              </w:rPr>
              <w:t>CARRERAS DE CHILE Y CARTAGENA DE INDIAS</w:t>
            </w:r>
          </w:p>
          <w:p w:rsidR="00B55CE5" w:rsidRDefault="00B55CE5" w:rsidP="00B55CE5">
            <w:pPr>
              <w:pStyle w:val="NoSpacing"/>
              <w:ind w:right="10"/>
              <w:rPr>
                <w:sz w:val="18"/>
                <w:szCs w:val="18"/>
                <w:lang w:val="es-PE"/>
              </w:rPr>
            </w:pPr>
            <w:r>
              <w:rPr>
                <w:b/>
                <w:sz w:val="18"/>
                <w:szCs w:val="18"/>
                <w:lang w:val="es-PE"/>
              </w:rPr>
              <w:t>CARTAS DE LIMA</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A Ica y Huaura</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2 ½ </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Arequipa y Piura</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Tarapacá y Quito</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Copiapó y Santa Fe de Bogotá</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9</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Cartagena de Indias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10</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b/>
                <w:sz w:val="18"/>
                <w:szCs w:val="18"/>
                <w:lang w:val="es-PE"/>
              </w:rPr>
            </w:pPr>
            <w:r>
              <w:rPr>
                <w:b/>
                <w:sz w:val="18"/>
                <w:szCs w:val="18"/>
                <w:lang w:val="es-PE"/>
              </w:rPr>
              <w:t>CAJAS INTERIORES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De unas a otras y las Travesías comprendidas en ambas Carreras, hasta Tarapacá y Piura</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2 ½ </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r>
      <w:tr w:rsidR="00B55CE5" w:rsidRPr="00D2529B"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b/>
                <w:sz w:val="18"/>
                <w:szCs w:val="18"/>
                <w:lang w:val="es-PE"/>
              </w:rPr>
              <w:t>De todas las Cajas de la Carrera de Arequipa y Tacna</w:t>
            </w:r>
            <w:r>
              <w:rPr>
                <w:sz w:val="18"/>
                <w:szCs w:val="18"/>
                <w:lang w:val="es-PE"/>
              </w:rPr>
              <w:t>, para los siguientes destinos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Tucumán y Piura</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Buenos Aires y Santa Fe de Bogotá</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9</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Cartagena de Indias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10</w:t>
            </w:r>
          </w:p>
        </w:tc>
      </w:tr>
      <w:tr w:rsidR="00B55CE5" w:rsidRPr="00D2529B"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b/>
                <w:sz w:val="18"/>
                <w:szCs w:val="18"/>
                <w:lang w:val="es-PE"/>
              </w:rPr>
              <w:t>De todas las Cajas de la Carrera de Valles,</w:t>
            </w:r>
            <w:r>
              <w:rPr>
                <w:sz w:val="18"/>
                <w:szCs w:val="18"/>
                <w:lang w:val="es-PE"/>
              </w:rPr>
              <w:t xml:space="preserve"> hasta Piura para los siguientes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Quito y Cuzco</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7</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Santa Fe de Bogotá y Potosí</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Cartagena de Indias y Buenos Aires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8</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10</w:t>
            </w:r>
          </w:p>
        </w:tc>
      </w:tr>
      <w:tr w:rsidR="00B55CE5" w:rsidRPr="00D2529B"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b/>
                <w:sz w:val="18"/>
                <w:szCs w:val="18"/>
                <w:lang w:val="es-PE"/>
              </w:rPr>
            </w:pPr>
            <w:r>
              <w:rPr>
                <w:b/>
                <w:sz w:val="18"/>
                <w:szCs w:val="18"/>
                <w:lang w:val="es-PE"/>
              </w:rPr>
              <w:t xml:space="preserve">Cartas de Santiago, Capital del </w:t>
            </w:r>
            <w:proofErr w:type="spellStart"/>
            <w:r>
              <w:rPr>
                <w:b/>
                <w:sz w:val="18"/>
                <w:szCs w:val="18"/>
                <w:lang w:val="es-PE"/>
              </w:rPr>
              <w:t>Reyno</w:t>
            </w:r>
            <w:proofErr w:type="spellEnd"/>
            <w:r>
              <w:rPr>
                <w:b/>
                <w:sz w:val="18"/>
                <w:szCs w:val="18"/>
                <w:lang w:val="es-PE"/>
              </w:rPr>
              <w:t xml:space="preserve"> de Chile</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5CE5" w:rsidRDefault="00B55CE5" w:rsidP="00B55CE5">
            <w:pPr>
              <w:pStyle w:val="NoSpacing"/>
              <w:ind w:right="10"/>
              <w:jc w:val="center"/>
              <w:rPr>
                <w:sz w:val="18"/>
                <w:szCs w:val="18"/>
                <w:lang w:val="es-PE"/>
              </w:rPr>
            </w:pP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A Valparaíso y Rancagua</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1 </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1 ½ </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2</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Talca y Mendoza</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1 ½ </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2</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4</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Concepción, San Juan y Coquimbo</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2</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2 ½ </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3 ½ </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5</w:t>
            </w:r>
          </w:p>
        </w:tc>
      </w:tr>
      <w:tr w:rsidR="00B55CE5" w:rsidTr="00B55CE5">
        <w:trPr>
          <w:jc w:val="center"/>
        </w:trPr>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rPr>
                <w:sz w:val="18"/>
                <w:szCs w:val="18"/>
                <w:lang w:val="es-PE"/>
              </w:rPr>
            </w:pPr>
            <w:r>
              <w:rPr>
                <w:sz w:val="18"/>
                <w:szCs w:val="18"/>
                <w:lang w:val="es-PE"/>
              </w:rPr>
              <w:t>Copiapó y Valdivia</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2 ½ </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3</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 xml:space="preserve">4 ½ </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8"/>
                <w:szCs w:val="18"/>
                <w:lang w:val="es-PE"/>
              </w:rPr>
            </w:pPr>
            <w:r>
              <w:rPr>
                <w:sz w:val="18"/>
                <w:szCs w:val="18"/>
                <w:lang w:val="es-PE"/>
              </w:rPr>
              <w:t>6</w:t>
            </w:r>
          </w:p>
        </w:tc>
      </w:tr>
    </w:tbl>
    <w:p w:rsidR="00164AC6" w:rsidRDefault="00164AC6" w:rsidP="00B55CE5">
      <w:pPr>
        <w:pStyle w:val="NoSpacing"/>
        <w:ind w:right="10"/>
        <w:jc w:val="both"/>
        <w:rPr>
          <w:sz w:val="18"/>
          <w:szCs w:val="18"/>
          <w:lang w:val="es-PE"/>
        </w:rPr>
      </w:pPr>
    </w:p>
    <w:p w:rsidR="00164AC6" w:rsidRDefault="00164AC6" w:rsidP="00B55CE5">
      <w:pPr>
        <w:pStyle w:val="NoSpacing"/>
        <w:ind w:right="10"/>
        <w:jc w:val="both"/>
        <w:rPr>
          <w:sz w:val="18"/>
          <w:szCs w:val="18"/>
          <w:lang w:val="es-PE"/>
        </w:rPr>
      </w:pPr>
    </w:p>
    <w:p w:rsidR="00B55CE5" w:rsidRDefault="00B55CE5" w:rsidP="00B55CE5">
      <w:pPr>
        <w:pStyle w:val="NoSpacing"/>
        <w:ind w:right="10"/>
        <w:jc w:val="both"/>
        <w:rPr>
          <w:sz w:val="18"/>
          <w:szCs w:val="18"/>
          <w:lang w:val="es-PE"/>
        </w:rPr>
      </w:pPr>
      <w:r>
        <w:rPr>
          <w:sz w:val="18"/>
          <w:szCs w:val="18"/>
          <w:lang w:val="es-PE"/>
        </w:rPr>
        <w:t>Por los paquetes y pliegos voluminosos, de Autos o Cuentas, se cobrarán las veinte primeras onzas por entero, según este Reglamento y por todas las excedentes arriba, para beneficio de los Interesados a razón de dos reales cada una.</w:t>
      </w:r>
    </w:p>
    <w:p w:rsidR="00B55CE5" w:rsidRDefault="00B55CE5" w:rsidP="00B55CE5">
      <w:pPr>
        <w:pStyle w:val="NoSpacing"/>
        <w:ind w:right="10"/>
        <w:jc w:val="both"/>
        <w:rPr>
          <w:sz w:val="18"/>
          <w:szCs w:val="18"/>
          <w:lang w:val="es-PE"/>
        </w:rPr>
      </w:pPr>
      <w:r>
        <w:rPr>
          <w:sz w:val="18"/>
          <w:szCs w:val="18"/>
          <w:lang w:val="es-PE"/>
        </w:rPr>
        <w:t>Por los papeles impresos o libros, que excedan de dos onzas y se remitan con una faja, en que haya puesto el sobrescrito, para evitar fraudes, se cobrarán solo a razón de doce reales cada libra, desde las citadas dos onzas en adelante: mediante que estas se deban cobrar por entero de su correspondiente porte.</w:t>
      </w:r>
    </w:p>
    <w:p w:rsidR="00D2529B" w:rsidRDefault="00D2529B" w:rsidP="00B55CE5">
      <w:pPr>
        <w:pStyle w:val="NoSpacing"/>
        <w:ind w:right="10"/>
        <w:jc w:val="center"/>
        <w:rPr>
          <w:b/>
          <w:sz w:val="18"/>
          <w:szCs w:val="18"/>
          <w:lang w:val="es-PE"/>
        </w:rPr>
      </w:pPr>
    </w:p>
    <w:p w:rsidR="00D2529B" w:rsidRDefault="00D2529B" w:rsidP="00B55CE5">
      <w:pPr>
        <w:pStyle w:val="NoSpacing"/>
        <w:ind w:right="10"/>
        <w:jc w:val="center"/>
        <w:rPr>
          <w:b/>
          <w:sz w:val="18"/>
          <w:szCs w:val="18"/>
          <w:lang w:val="es-PE"/>
        </w:rPr>
      </w:pPr>
    </w:p>
    <w:p w:rsidR="00D2529B" w:rsidRDefault="00D2529B" w:rsidP="00B55CE5">
      <w:pPr>
        <w:pStyle w:val="NoSpacing"/>
        <w:ind w:right="10"/>
        <w:jc w:val="center"/>
        <w:rPr>
          <w:b/>
          <w:sz w:val="18"/>
          <w:szCs w:val="18"/>
          <w:lang w:val="es-PE"/>
        </w:rPr>
      </w:pPr>
    </w:p>
    <w:p w:rsidR="00D2529B" w:rsidRDefault="00D2529B" w:rsidP="00B55CE5">
      <w:pPr>
        <w:pStyle w:val="NoSpacing"/>
        <w:ind w:right="10"/>
        <w:jc w:val="center"/>
        <w:rPr>
          <w:b/>
          <w:sz w:val="18"/>
          <w:szCs w:val="18"/>
          <w:lang w:val="es-PE"/>
        </w:rPr>
      </w:pPr>
    </w:p>
    <w:p w:rsidR="00B55CE5" w:rsidRDefault="00B55CE5" w:rsidP="00B55CE5">
      <w:pPr>
        <w:pStyle w:val="NoSpacing"/>
        <w:ind w:right="10"/>
        <w:jc w:val="center"/>
        <w:rPr>
          <w:b/>
          <w:sz w:val="18"/>
          <w:szCs w:val="18"/>
          <w:lang w:val="es-PE"/>
        </w:rPr>
      </w:pPr>
      <w:bookmarkStart w:id="0" w:name="_GoBack"/>
      <w:bookmarkEnd w:id="0"/>
      <w:r>
        <w:rPr>
          <w:b/>
          <w:sz w:val="18"/>
          <w:szCs w:val="18"/>
          <w:lang w:val="es-PE"/>
        </w:rPr>
        <w:lastRenderedPageBreak/>
        <w:t>DERECHOS DE CERTIFICACION</w:t>
      </w:r>
    </w:p>
    <w:p w:rsidR="00B55CE5" w:rsidRDefault="00B55CE5" w:rsidP="00B55CE5">
      <w:pPr>
        <w:pStyle w:val="NoSpacing"/>
        <w:ind w:right="10"/>
        <w:jc w:val="both"/>
        <w:rPr>
          <w:lang w:val="es-PE"/>
        </w:rPr>
      </w:pPr>
      <w:r>
        <w:rPr>
          <w:lang w:val="es-PE"/>
        </w:rPr>
        <w:t xml:space="preserve">Por las Cartas sencillas y pliegos que se dirijan Certificados de unos a otros Oficios, así dentro del </w:t>
      </w:r>
      <w:proofErr w:type="spellStart"/>
      <w:r>
        <w:rPr>
          <w:lang w:val="es-PE"/>
        </w:rPr>
        <w:t>Reyno</w:t>
      </w:r>
      <w:proofErr w:type="spellEnd"/>
      <w:r>
        <w:rPr>
          <w:lang w:val="es-PE"/>
        </w:rPr>
        <w:t>, como para los Dominios Ultramarinos, se cobraran de la forma siguiente:</w:t>
      </w:r>
    </w:p>
    <w:p w:rsidR="00B55CE5" w:rsidRDefault="00B55CE5" w:rsidP="00B55CE5">
      <w:pPr>
        <w:pStyle w:val="NoSpacing"/>
        <w:ind w:right="10"/>
        <w:jc w:val="both"/>
        <w:rPr>
          <w:sz w:val="18"/>
          <w:szCs w:val="18"/>
          <w:lang w:val="es-PE"/>
        </w:rPr>
      </w:pPr>
      <w:r>
        <w:rPr>
          <w:lang w:val="es-PE"/>
        </w:rPr>
        <w:t xml:space="preserve">                                                                                                                                 </w:t>
      </w:r>
      <w:r>
        <w:rPr>
          <w:sz w:val="18"/>
          <w:szCs w:val="18"/>
          <w:lang w:val="es-PE"/>
        </w:rPr>
        <w:t>Portes de Reales de Plata</w:t>
      </w:r>
    </w:p>
    <w:tbl>
      <w:tblPr>
        <w:tblStyle w:val="TableGrid"/>
        <w:tblpPr w:leftFromText="180" w:rightFromText="180" w:vertAnchor="text" w:horzAnchor="margin" w:tblpXSpec="center" w:tblpY="103"/>
        <w:tblW w:w="0" w:type="auto"/>
        <w:tblLook w:val="04A0" w:firstRow="1" w:lastRow="0" w:firstColumn="1" w:lastColumn="0" w:noHBand="0" w:noVBand="1"/>
      </w:tblPr>
      <w:tblGrid>
        <w:gridCol w:w="4068"/>
        <w:gridCol w:w="1795"/>
        <w:gridCol w:w="2200"/>
      </w:tblGrid>
      <w:tr w:rsidR="00B55CE5" w:rsidRPr="00D2529B" w:rsidTr="00B55CE5">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lang w:val="es-PE"/>
              </w:rPr>
            </w:pPr>
            <w:r>
              <w:rPr>
                <w:lang w:val="es-PE"/>
              </w:rPr>
              <w:t>DESTINOS</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6"/>
                <w:szCs w:val="16"/>
                <w:lang w:val="es-PE"/>
              </w:rPr>
            </w:pPr>
            <w:r>
              <w:rPr>
                <w:sz w:val="16"/>
                <w:szCs w:val="16"/>
                <w:lang w:val="es-PE"/>
              </w:rPr>
              <w:t>Por la carta sencilla</w:t>
            </w:r>
          </w:p>
          <w:p w:rsidR="00B55CE5" w:rsidRDefault="00B55CE5" w:rsidP="00B55CE5">
            <w:pPr>
              <w:pStyle w:val="NoSpacing"/>
              <w:ind w:right="10"/>
              <w:jc w:val="center"/>
              <w:rPr>
                <w:sz w:val="16"/>
                <w:szCs w:val="16"/>
                <w:lang w:val="es-PE"/>
              </w:rPr>
            </w:pPr>
            <w:r>
              <w:rPr>
                <w:sz w:val="16"/>
                <w:szCs w:val="16"/>
                <w:lang w:val="es-PE"/>
              </w:rPr>
              <w:t>Hasta la onza exclusive</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sz w:val="16"/>
                <w:szCs w:val="16"/>
                <w:lang w:val="es-PE"/>
              </w:rPr>
            </w:pPr>
            <w:r>
              <w:rPr>
                <w:sz w:val="16"/>
                <w:szCs w:val="16"/>
                <w:lang w:val="es-PE"/>
              </w:rPr>
              <w:t>Por los pliegos gruesos</w:t>
            </w:r>
          </w:p>
          <w:p w:rsidR="00B55CE5" w:rsidRDefault="00B55CE5" w:rsidP="00B55CE5">
            <w:pPr>
              <w:pStyle w:val="NoSpacing"/>
              <w:ind w:right="10"/>
              <w:jc w:val="center"/>
              <w:rPr>
                <w:sz w:val="16"/>
                <w:szCs w:val="16"/>
                <w:lang w:val="es-PE"/>
              </w:rPr>
            </w:pPr>
            <w:r>
              <w:rPr>
                <w:sz w:val="16"/>
                <w:szCs w:val="16"/>
                <w:lang w:val="es-PE"/>
              </w:rPr>
              <w:t>Desde la onza en adelante</w:t>
            </w:r>
          </w:p>
        </w:tc>
      </w:tr>
      <w:tr w:rsidR="00B55CE5" w:rsidTr="00B55CE5">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lang w:val="es-PE"/>
              </w:rPr>
            </w:pPr>
            <w:r>
              <w:rPr>
                <w:lang w:val="es-PE"/>
              </w:rPr>
              <w:t xml:space="preserve">De unas a otras cajas desde la Capital de Lima, En las cuatro Carreras Generales, hasta Huánuco, Cuzco, Arequipa y Piura, y desde los referidos destinos del Cuzco y Arequipa, hasta Potosí y desde Piura a Quito </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lang w:val="es-PE"/>
              </w:rPr>
            </w:pPr>
            <w:r>
              <w:rPr>
                <w:lang w:val="es-PE"/>
              </w:rPr>
              <w:t>4</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lang w:val="es-PE"/>
              </w:rPr>
            </w:pPr>
            <w:r>
              <w:rPr>
                <w:lang w:val="es-PE"/>
              </w:rPr>
              <w:t>8</w:t>
            </w:r>
          </w:p>
        </w:tc>
      </w:tr>
      <w:tr w:rsidR="00B55CE5" w:rsidTr="00B55CE5">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lang w:val="es-PE"/>
              </w:rPr>
            </w:pPr>
            <w:r>
              <w:rPr>
                <w:lang w:val="es-PE"/>
              </w:rPr>
              <w:t xml:space="preserve">Para todas las demás del </w:t>
            </w:r>
            <w:proofErr w:type="spellStart"/>
            <w:r>
              <w:rPr>
                <w:lang w:val="es-PE"/>
              </w:rPr>
              <w:t>Reyno</w:t>
            </w:r>
            <w:proofErr w:type="spellEnd"/>
            <w:r>
              <w:rPr>
                <w:lang w:val="es-PE"/>
              </w:rPr>
              <w:t>, Chile y Santa Fe de Bogotá</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lang w:val="es-PE"/>
              </w:rPr>
            </w:pPr>
            <w:r>
              <w:rPr>
                <w:lang w:val="es-PE"/>
              </w:rPr>
              <w:t>5</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lang w:val="es-PE"/>
              </w:rPr>
            </w:pPr>
            <w:r>
              <w:rPr>
                <w:lang w:val="es-PE"/>
              </w:rPr>
              <w:t>10</w:t>
            </w:r>
          </w:p>
        </w:tc>
      </w:tr>
      <w:tr w:rsidR="00B55CE5" w:rsidTr="00B55CE5">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lang w:val="es-PE"/>
              </w:rPr>
            </w:pPr>
            <w:r>
              <w:rPr>
                <w:lang w:val="es-PE"/>
              </w:rPr>
              <w:t xml:space="preserve">Para Islas y </w:t>
            </w:r>
            <w:proofErr w:type="spellStart"/>
            <w:r>
              <w:rPr>
                <w:lang w:val="es-PE"/>
              </w:rPr>
              <w:t>Reyno</w:t>
            </w:r>
            <w:proofErr w:type="spellEnd"/>
            <w:r>
              <w:rPr>
                <w:lang w:val="es-PE"/>
              </w:rPr>
              <w:t xml:space="preserve"> de México</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lang w:val="es-PE"/>
              </w:rPr>
            </w:pPr>
            <w:r>
              <w:rPr>
                <w:lang w:val="es-PE"/>
              </w:rPr>
              <w:t>8</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lang w:val="es-PE"/>
              </w:rPr>
            </w:pPr>
            <w:r>
              <w:rPr>
                <w:lang w:val="es-PE"/>
              </w:rPr>
              <w:t>16</w:t>
            </w:r>
          </w:p>
        </w:tc>
      </w:tr>
      <w:tr w:rsidR="00B55CE5" w:rsidTr="00B55CE5">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both"/>
              <w:rPr>
                <w:lang w:val="es-PE"/>
              </w:rPr>
            </w:pPr>
            <w:r>
              <w:rPr>
                <w:lang w:val="es-PE"/>
              </w:rPr>
              <w:t>De Indias para España</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lang w:val="es-PE"/>
              </w:rPr>
            </w:pPr>
            <w:r>
              <w:rPr>
                <w:lang w:val="es-PE"/>
              </w:rPr>
              <w:t>12</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5CE5" w:rsidRDefault="00B55CE5" w:rsidP="00B55CE5">
            <w:pPr>
              <w:pStyle w:val="NoSpacing"/>
              <w:ind w:right="10"/>
              <w:jc w:val="center"/>
              <w:rPr>
                <w:lang w:val="es-PE"/>
              </w:rPr>
            </w:pPr>
            <w:r>
              <w:rPr>
                <w:lang w:val="es-PE"/>
              </w:rPr>
              <w:t>24</w:t>
            </w:r>
          </w:p>
        </w:tc>
      </w:tr>
    </w:tbl>
    <w:p w:rsidR="00B55CE5" w:rsidRDefault="00B55CE5" w:rsidP="00B55CE5">
      <w:pPr>
        <w:pStyle w:val="NoSpacing"/>
        <w:ind w:right="10"/>
        <w:jc w:val="both"/>
        <w:rPr>
          <w:lang w:val="es-PE"/>
        </w:rPr>
      </w:pPr>
    </w:p>
    <w:p w:rsidR="00B55CE5" w:rsidRDefault="00B55CE5" w:rsidP="00B55CE5">
      <w:pPr>
        <w:pStyle w:val="NoSpacing"/>
        <w:ind w:right="10"/>
        <w:jc w:val="both"/>
        <w:rPr>
          <w:lang w:val="es-PE"/>
        </w:rPr>
      </w:pPr>
    </w:p>
    <w:p w:rsidR="00B55CE5" w:rsidRDefault="00B55CE5" w:rsidP="00B55CE5">
      <w:pPr>
        <w:pStyle w:val="NoSpacing"/>
        <w:ind w:right="10"/>
        <w:jc w:val="both"/>
        <w:rPr>
          <w:lang w:val="es-PE"/>
        </w:rPr>
      </w:pPr>
    </w:p>
    <w:p w:rsidR="00B55CE5" w:rsidRDefault="00B55CE5" w:rsidP="00B55CE5">
      <w:pPr>
        <w:pStyle w:val="NoSpacing"/>
        <w:ind w:right="10"/>
        <w:jc w:val="both"/>
        <w:rPr>
          <w:lang w:val="es-PE"/>
        </w:rPr>
      </w:pPr>
    </w:p>
    <w:p w:rsidR="00B55CE5" w:rsidRDefault="00B55CE5" w:rsidP="00B55CE5">
      <w:pPr>
        <w:pStyle w:val="NoSpacing"/>
        <w:ind w:right="10"/>
        <w:jc w:val="both"/>
        <w:rPr>
          <w:lang w:val="es-PE"/>
        </w:rPr>
      </w:pPr>
    </w:p>
    <w:p w:rsidR="00B55CE5" w:rsidRDefault="00B55CE5" w:rsidP="00B55CE5">
      <w:pPr>
        <w:pStyle w:val="NoSpacing"/>
        <w:ind w:right="10"/>
        <w:jc w:val="both"/>
        <w:rPr>
          <w:lang w:val="es-PE"/>
        </w:rPr>
      </w:pPr>
    </w:p>
    <w:p w:rsidR="00B55CE5" w:rsidRDefault="00B55CE5" w:rsidP="00B55CE5">
      <w:pPr>
        <w:pStyle w:val="NoSpacing"/>
        <w:ind w:right="10"/>
        <w:jc w:val="both"/>
        <w:rPr>
          <w:lang w:val="es-PE"/>
        </w:rPr>
      </w:pPr>
    </w:p>
    <w:p w:rsidR="00B55CE5" w:rsidRDefault="00B55CE5" w:rsidP="00B55CE5">
      <w:pPr>
        <w:pStyle w:val="NoSpacing"/>
        <w:ind w:right="10"/>
        <w:jc w:val="both"/>
        <w:rPr>
          <w:lang w:val="es-PE"/>
        </w:rPr>
      </w:pPr>
    </w:p>
    <w:p w:rsidR="00B55CE5" w:rsidRDefault="00B55CE5" w:rsidP="00B55CE5">
      <w:pPr>
        <w:pStyle w:val="NoSpacing"/>
        <w:ind w:right="10"/>
        <w:jc w:val="both"/>
        <w:rPr>
          <w:lang w:val="es-PE"/>
        </w:rPr>
      </w:pPr>
    </w:p>
    <w:p w:rsidR="00B55CE5" w:rsidRDefault="00B55CE5" w:rsidP="00B55CE5">
      <w:pPr>
        <w:pStyle w:val="NoSpacing"/>
        <w:ind w:right="10"/>
        <w:jc w:val="both"/>
        <w:rPr>
          <w:lang w:val="es-PE"/>
        </w:rPr>
      </w:pPr>
    </w:p>
    <w:p w:rsidR="00B55CE5" w:rsidRDefault="00B55CE5" w:rsidP="00B55CE5">
      <w:pPr>
        <w:pStyle w:val="NoSpacing"/>
        <w:ind w:right="10"/>
        <w:jc w:val="both"/>
        <w:rPr>
          <w:lang w:val="es-PE"/>
        </w:rPr>
      </w:pPr>
    </w:p>
    <w:p w:rsidR="00B55CE5" w:rsidRDefault="00B55CE5" w:rsidP="00B55CE5">
      <w:pPr>
        <w:pStyle w:val="NoSpacing"/>
        <w:ind w:right="10"/>
        <w:jc w:val="both"/>
        <w:rPr>
          <w:lang w:val="es-PE"/>
        </w:rPr>
      </w:pPr>
      <w:r>
        <w:rPr>
          <w:lang w:val="es-PE"/>
        </w:rPr>
        <w:t xml:space="preserve">                                                                                                                            </w:t>
      </w:r>
    </w:p>
    <w:p w:rsidR="00B55CE5" w:rsidRDefault="00B55CE5" w:rsidP="00B55CE5">
      <w:pPr>
        <w:pStyle w:val="NoSpacing"/>
        <w:ind w:right="10"/>
        <w:jc w:val="both"/>
        <w:rPr>
          <w:sz w:val="18"/>
          <w:szCs w:val="18"/>
          <w:lang w:val="es-PE"/>
        </w:rPr>
      </w:pPr>
      <w:r>
        <w:rPr>
          <w:sz w:val="18"/>
          <w:szCs w:val="18"/>
          <w:lang w:val="es-PE"/>
        </w:rPr>
        <w:t xml:space="preserve">Se halla prevenido por regla general, que en manera alguna se admita a certificar Pliego, ni carta, que contenga dinero, o alhajas, por deber remitirse por separado en la Carta cuenta de Encomiendas, y que con los Derechos de Certificación que quedan expresados, se debe cobrar al mismo tiempo el correspondiente porte de Tierra hasta el paraje respectivo del Destino de las Cartas, consideración de la responsabilidad en que se constituyen el oficio de hacer constar a los interesados su entrega, a menos que no ocurra algún insulto al Correo, como el que le roben violentamente, se pierda o se anegue, por alguna avenida de los ríos u otro de los muchos casos fortuitos, que se pueden experimentar en los caminos, y los Administradores estarán advertidos de poner en el sobre escrito la nota de certificación y </w:t>
      </w:r>
      <w:proofErr w:type="spellStart"/>
      <w:r>
        <w:rPr>
          <w:sz w:val="18"/>
          <w:szCs w:val="18"/>
          <w:lang w:val="es-PE"/>
        </w:rPr>
        <w:t>francatura</w:t>
      </w:r>
      <w:proofErr w:type="spellEnd"/>
      <w:r>
        <w:rPr>
          <w:sz w:val="18"/>
          <w:szCs w:val="18"/>
          <w:lang w:val="es-PE"/>
        </w:rPr>
        <w:t xml:space="preserve">, y que por ningún se halla exenta de pagar este derecho, como ni tampoco los porte de los pliegos que se titulan de Oficio, mediante a que S.M. tiene mandado por Real Orden de 5 de abril de 1774, que se satisfagan de los fondos de la Real Hacienda, cuya disposición se ha comunicado circularmente por el Excelentísimo  Señor Virrey, y se halla puesta en observancia en todo el </w:t>
      </w:r>
      <w:proofErr w:type="spellStart"/>
      <w:r>
        <w:rPr>
          <w:sz w:val="18"/>
          <w:szCs w:val="18"/>
          <w:lang w:val="es-PE"/>
        </w:rPr>
        <w:t>Reyno</w:t>
      </w:r>
      <w:proofErr w:type="spellEnd"/>
      <w:r>
        <w:rPr>
          <w:sz w:val="18"/>
          <w:szCs w:val="18"/>
          <w:lang w:val="es-PE"/>
        </w:rPr>
        <w:t>.</w:t>
      </w:r>
    </w:p>
    <w:p w:rsidR="00B55CE5" w:rsidRDefault="00B55CE5" w:rsidP="00B55CE5">
      <w:pPr>
        <w:pStyle w:val="NoSpacing"/>
        <w:ind w:right="10"/>
        <w:jc w:val="both"/>
        <w:rPr>
          <w:sz w:val="18"/>
          <w:szCs w:val="18"/>
          <w:lang w:val="es-PE"/>
        </w:rPr>
      </w:pPr>
      <w:r>
        <w:rPr>
          <w:sz w:val="18"/>
          <w:szCs w:val="18"/>
          <w:lang w:val="es-PE"/>
        </w:rPr>
        <w:t>(Biblioteca Nacional del Perú – Extravagantes)</w:t>
      </w:r>
    </w:p>
    <w:p w:rsidR="00B55CE5" w:rsidRDefault="00B55CE5" w:rsidP="00B55CE5">
      <w:pPr>
        <w:pStyle w:val="NoSpacing"/>
        <w:ind w:right="10"/>
        <w:jc w:val="both"/>
        <w:rPr>
          <w:sz w:val="18"/>
          <w:szCs w:val="18"/>
          <w:lang w:val="es-PE"/>
        </w:rPr>
      </w:pPr>
    </w:p>
    <w:p w:rsidR="00B55CE5" w:rsidRDefault="00B55CE5" w:rsidP="00B55CE5">
      <w:pPr>
        <w:pStyle w:val="NoSpacing"/>
        <w:ind w:right="10"/>
        <w:jc w:val="both"/>
        <w:rPr>
          <w:sz w:val="22"/>
          <w:szCs w:val="22"/>
          <w:lang w:val="es-PE"/>
        </w:rPr>
      </w:pPr>
      <w:r>
        <w:rPr>
          <w:lang w:val="es-PE"/>
        </w:rPr>
        <w:t>La Tarifa para los Portes de Mar y Sobre Portes de Tierra de las correspondencias ultramarinas, son las  mismas que la TARIFA XII, o sea que esta se extiende desde 1772 hasta 1801.</w:t>
      </w:r>
    </w:p>
    <w:p w:rsidR="00B55CE5" w:rsidRDefault="00B55CE5" w:rsidP="00B55CE5">
      <w:pPr>
        <w:pStyle w:val="NoSpacing"/>
        <w:ind w:right="10"/>
        <w:jc w:val="both"/>
        <w:rPr>
          <w:lang w:val="es-PE"/>
        </w:rPr>
      </w:pPr>
      <w:r>
        <w:rPr>
          <w:lang w:val="es-PE"/>
        </w:rPr>
        <w:t xml:space="preserve">Posteriormente con fecha 26 de octubre de 1796, envían una  Real Orden sobre reformar nuevamente las tarifas postales, y Don Antonio de Pando no contesta esta, considerando tal vez que no es aplicable en estos territorios, y las autoridades españolas no lo sancionan; este cambio solo se produce en el Virreinato de Nueva España el año de 1814. </w:t>
      </w:r>
    </w:p>
    <w:p w:rsidR="00B55CE5" w:rsidRDefault="00B55CE5" w:rsidP="00B55CE5">
      <w:pPr>
        <w:pStyle w:val="NoSpacing"/>
        <w:ind w:right="10"/>
        <w:jc w:val="both"/>
        <w:rPr>
          <w:lang w:val="es-PE"/>
        </w:rPr>
      </w:pPr>
    </w:p>
    <w:p w:rsidR="00B55CE5" w:rsidRDefault="00B55CE5" w:rsidP="00B55CE5">
      <w:pPr>
        <w:pStyle w:val="NoSpacing"/>
        <w:ind w:right="10"/>
        <w:jc w:val="both"/>
        <w:rPr>
          <w:lang w:val="es-PE"/>
        </w:rPr>
      </w:pPr>
      <w:r>
        <w:rPr>
          <w:lang w:val="es-PE"/>
        </w:rPr>
        <w:t xml:space="preserve">Pero a cambio de las consultas efectuadas por Madrid, Don Antonio de Pando realiza una nueva Tarifa cuya publicación se efectúa el 24 de setiembre  de 1801, basándose en la unificación de los portes usados en América, que como ya lo indique antes, se empieza a usar la Tarifa en 1779 para el Correo Marítimo,  esta nueva Tarifa se podría considerar como  su último trabajo, al frente de la Renta de Correos en el Perú,  ya que el fallece en mayo de 1802, quedándose en forma interina en el cargo el Contador Don Gabriel García de la Plaza, posteriormente se nombró a Don Félix de la Roza </w:t>
      </w:r>
      <w:proofErr w:type="spellStart"/>
      <w:r>
        <w:rPr>
          <w:lang w:val="es-PE"/>
        </w:rPr>
        <w:t>Queipo</w:t>
      </w:r>
      <w:proofErr w:type="spellEnd"/>
      <w:r>
        <w:rPr>
          <w:lang w:val="es-PE"/>
        </w:rPr>
        <w:t xml:space="preserve"> de Llano, como Administrador General de Correos para el Virreinato del Perú.</w:t>
      </w:r>
    </w:p>
    <w:p w:rsidR="00B55CE5" w:rsidRDefault="00B55CE5" w:rsidP="00B55CE5">
      <w:pPr>
        <w:pStyle w:val="NoSpacing"/>
        <w:ind w:right="10"/>
        <w:jc w:val="both"/>
        <w:rPr>
          <w:lang w:val="es-PE"/>
        </w:rPr>
      </w:pPr>
    </w:p>
    <w:p w:rsidR="00B55CE5" w:rsidRDefault="00B55CE5" w:rsidP="00B55CE5">
      <w:pPr>
        <w:pStyle w:val="NoSpacing"/>
        <w:ind w:right="10"/>
        <w:jc w:val="center"/>
        <w:rPr>
          <w:b/>
          <w:lang w:val="es-PE"/>
        </w:rPr>
      </w:pPr>
    </w:p>
    <w:sectPr w:rsidR="00B55CE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DD8" w:rsidRDefault="00943DD8" w:rsidP="007F72AD">
      <w:pPr>
        <w:spacing w:after="0" w:line="240" w:lineRule="auto"/>
      </w:pPr>
      <w:r>
        <w:separator/>
      </w:r>
    </w:p>
  </w:endnote>
  <w:endnote w:type="continuationSeparator" w:id="0">
    <w:p w:rsidR="00943DD8" w:rsidRDefault="00943DD8" w:rsidP="007F7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934238"/>
      <w:docPartObj>
        <w:docPartGallery w:val="Page Numbers (Bottom of Page)"/>
        <w:docPartUnique/>
      </w:docPartObj>
    </w:sdtPr>
    <w:sdtEndPr>
      <w:rPr>
        <w:noProof/>
      </w:rPr>
    </w:sdtEndPr>
    <w:sdtContent>
      <w:p w:rsidR="007F72AD" w:rsidRDefault="007F72AD">
        <w:pPr>
          <w:pStyle w:val="Footer"/>
          <w:jc w:val="right"/>
        </w:pPr>
        <w:r>
          <w:fldChar w:fldCharType="begin"/>
        </w:r>
        <w:r>
          <w:instrText xml:space="preserve"> PAGE   \* MERGEFORMAT </w:instrText>
        </w:r>
        <w:r>
          <w:fldChar w:fldCharType="separate"/>
        </w:r>
        <w:r w:rsidR="00D2529B">
          <w:rPr>
            <w:noProof/>
          </w:rPr>
          <w:t>3</w:t>
        </w:r>
        <w:r>
          <w:rPr>
            <w:noProof/>
          </w:rPr>
          <w:fldChar w:fldCharType="end"/>
        </w:r>
      </w:p>
    </w:sdtContent>
  </w:sdt>
  <w:p w:rsidR="007F72AD" w:rsidRDefault="007F72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DD8" w:rsidRDefault="00943DD8" w:rsidP="007F72AD">
      <w:pPr>
        <w:spacing w:after="0" w:line="240" w:lineRule="auto"/>
      </w:pPr>
      <w:r>
        <w:separator/>
      </w:r>
    </w:p>
  </w:footnote>
  <w:footnote w:type="continuationSeparator" w:id="0">
    <w:p w:rsidR="00943DD8" w:rsidRDefault="00943DD8" w:rsidP="007F72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438"/>
    <w:multiLevelType w:val="hybridMultilevel"/>
    <w:tmpl w:val="4880D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B36EF"/>
    <w:multiLevelType w:val="hybridMultilevel"/>
    <w:tmpl w:val="B3C4FFDC"/>
    <w:lvl w:ilvl="0" w:tplc="560A38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66AFC"/>
    <w:multiLevelType w:val="hybridMultilevel"/>
    <w:tmpl w:val="9AC86012"/>
    <w:lvl w:ilvl="0" w:tplc="BFA486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B523E"/>
    <w:multiLevelType w:val="hybridMultilevel"/>
    <w:tmpl w:val="93FCB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021D92"/>
    <w:multiLevelType w:val="hybridMultilevel"/>
    <w:tmpl w:val="F5BE45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1DED4FD4"/>
    <w:multiLevelType w:val="hybridMultilevel"/>
    <w:tmpl w:val="A3461F7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6">
    <w:nsid w:val="1E8475E4"/>
    <w:multiLevelType w:val="hybridMultilevel"/>
    <w:tmpl w:val="03DC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B361A1"/>
    <w:multiLevelType w:val="hybridMultilevel"/>
    <w:tmpl w:val="4A8A1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507BB4"/>
    <w:multiLevelType w:val="hybridMultilevel"/>
    <w:tmpl w:val="272AF0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nsid w:val="1F8E4E6D"/>
    <w:multiLevelType w:val="hybridMultilevel"/>
    <w:tmpl w:val="31F021DA"/>
    <w:lvl w:ilvl="0" w:tplc="476A34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357824"/>
    <w:multiLevelType w:val="hybridMultilevel"/>
    <w:tmpl w:val="1760236A"/>
    <w:lvl w:ilvl="0" w:tplc="DD48AA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FE0C35"/>
    <w:multiLevelType w:val="hybridMultilevel"/>
    <w:tmpl w:val="08BC9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71E56D3"/>
    <w:multiLevelType w:val="hybridMultilevel"/>
    <w:tmpl w:val="36C8F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E03C5A"/>
    <w:multiLevelType w:val="hybridMultilevel"/>
    <w:tmpl w:val="1298B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AB0E63"/>
    <w:multiLevelType w:val="hybridMultilevel"/>
    <w:tmpl w:val="4038E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BB3FFF"/>
    <w:multiLevelType w:val="hybridMultilevel"/>
    <w:tmpl w:val="1666918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EA4E99"/>
    <w:multiLevelType w:val="hybridMultilevel"/>
    <w:tmpl w:val="F948CD3E"/>
    <w:lvl w:ilvl="0" w:tplc="D79637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3B26B9"/>
    <w:multiLevelType w:val="hybridMultilevel"/>
    <w:tmpl w:val="3800D8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6633227"/>
    <w:multiLevelType w:val="hybridMultilevel"/>
    <w:tmpl w:val="875ECA82"/>
    <w:lvl w:ilvl="0" w:tplc="67D84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8758BB"/>
    <w:multiLevelType w:val="hybridMultilevel"/>
    <w:tmpl w:val="6FB2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75773C"/>
    <w:multiLevelType w:val="hybridMultilevel"/>
    <w:tmpl w:val="4B3A5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3D167E"/>
    <w:multiLevelType w:val="hybridMultilevel"/>
    <w:tmpl w:val="0E6245A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2">
    <w:nsid w:val="3DCF6354"/>
    <w:multiLevelType w:val="hybridMultilevel"/>
    <w:tmpl w:val="021E9486"/>
    <w:lvl w:ilvl="0" w:tplc="91563C0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nsid w:val="429756FE"/>
    <w:multiLevelType w:val="hybridMultilevel"/>
    <w:tmpl w:val="7422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202692"/>
    <w:multiLevelType w:val="hybridMultilevel"/>
    <w:tmpl w:val="E2BC0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5868EA"/>
    <w:multiLevelType w:val="hybridMultilevel"/>
    <w:tmpl w:val="46CA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E277ED"/>
    <w:multiLevelType w:val="hybridMultilevel"/>
    <w:tmpl w:val="330E1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0A7923"/>
    <w:multiLevelType w:val="hybridMultilevel"/>
    <w:tmpl w:val="1E04B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2B477AB"/>
    <w:multiLevelType w:val="hybridMultilevel"/>
    <w:tmpl w:val="7F9AA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895522"/>
    <w:multiLevelType w:val="hybridMultilevel"/>
    <w:tmpl w:val="7AE4E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7787143"/>
    <w:multiLevelType w:val="hybridMultilevel"/>
    <w:tmpl w:val="8884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CA0810"/>
    <w:multiLevelType w:val="hybridMultilevel"/>
    <w:tmpl w:val="A12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6D50FA"/>
    <w:multiLevelType w:val="hybridMultilevel"/>
    <w:tmpl w:val="B3844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A41B8C"/>
    <w:multiLevelType w:val="hybridMultilevel"/>
    <w:tmpl w:val="0E94A2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680E2A27"/>
    <w:multiLevelType w:val="hybridMultilevel"/>
    <w:tmpl w:val="8C6C7A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nsid w:val="6D702761"/>
    <w:multiLevelType w:val="hybridMultilevel"/>
    <w:tmpl w:val="EEB8C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436221"/>
    <w:multiLevelType w:val="hybridMultilevel"/>
    <w:tmpl w:val="20247670"/>
    <w:lvl w:ilvl="0" w:tplc="480EA6DE">
      <w:start w:val="12"/>
      <w:numFmt w:val="bullet"/>
      <w:lvlText w:val=""/>
      <w:lvlJc w:val="left"/>
      <w:pPr>
        <w:ind w:left="54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1B4BA6"/>
    <w:multiLevelType w:val="hybridMultilevel"/>
    <w:tmpl w:val="A4EEB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BBB183D"/>
    <w:multiLevelType w:val="hybridMultilevel"/>
    <w:tmpl w:val="DE7CE4DC"/>
    <w:lvl w:ilvl="0" w:tplc="55D8C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DA3AE3"/>
    <w:multiLevelType w:val="hybridMultilevel"/>
    <w:tmpl w:val="CCD0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0"/>
  </w:num>
  <w:num w:numId="4">
    <w:abstractNumId w:val="20"/>
  </w:num>
  <w:num w:numId="5">
    <w:abstractNumId w:val="36"/>
  </w:num>
  <w:num w:numId="6">
    <w:abstractNumId w:val="22"/>
  </w:num>
  <w:num w:numId="7">
    <w:abstractNumId w:val="1"/>
  </w:num>
  <w:num w:numId="8">
    <w:abstractNumId w:val="2"/>
  </w:num>
  <w:num w:numId="9">
    <w:abstractNumId w:val="16"/>
  </w:num>
  <w:num w:numId="10">
    <w:abstractNumId w:val="37"/>
  </w:num>
  <w:num w:numId="11">
    <w:abstractNumId w:val="21"/>
  </w:num>
  <w:num w:numId="12">
    <w:abstractNumId w:val="17"/>
  </w:num>
  <w:num w:numId="13">
    <w:abstractNumId w:val="12"/>
  </w:num>
  <w:num w:numId="14">
    <w:abstractNumId w:val="3"/>
  </w:num>
  <w:num w:numId="15">
    <w:abstractNumId w:val="31"/>
  </w:num>
  <w:num w:numId="16">
    <w:abstractNumId w:val="28"/>
  </w:num>
  <w:num w:numId="17">
    <w:abstractNumId w:val="13"/>
  </w:num>
  <w:num w:numId="18">
    <w:abstractNumId w:val="25"/>
  </w:num>
  <w:num w:numId="19">
    <w:abstractNumId w:val="4"/>
  </w:num>
  <w:num w:numId="20">
    <w:abstractNumId w:val="19"/>
  </w:num>
  <w:num w:numId="21">
    <w:abstractNumId w:val="29"/>
  </w:num>
  <w:num w:numId="22">
    <w:abstractNumId w:val="26"/>
  </w:num>
  <w:num w:numId="23">
    <w:abstractNumId w:val="35"/>
  </w:num>
  <w:num w:numId="24">
    <w:abstractNumId w:val="33"/>
  </w:num>
  <w:num w:numId="25">
    <w:abstractNumId w:val="23"/>
  </w:num>
  <w:num w:numId="26">
    <w:abstractNumId w:val="34"/>
  </w:num>
  <w:num w:numId="27">
    <w:abstractNumId w:val="6"/>
  </w:num>
  <w:num w:numId="28">
    <w:abstractNumId w:val="14"/>
  </w:num>
  <w:num w:numId="29">
    <w:abstractNumId w:val="0"/>
  </w:num>
  <w:num w:numId="30">
    <w:abstractNumId w:val="24"/>
  </w:num>
  <w:num w:numId="31">
    <w:abstractNumId w:val="8"/>
  </w:num>
  <w:num w:numId="32">
    <w:abstractNumId w:val="11"/>
  </w:num>
  <w:num w:numId="33">
    <w:abstractNumId w:val="32"/>
  </w:num>
  <w:num w:numId="34">
    <w:abstractNumId w:val="5"/>
  </w:num>
  <w:num w:numId="35">
    <w:abstractNumId w:val="7"/>
  </w:num>
  <w:num w:numId="36">
    <w:abstractNumId w:val="27"/>
  </w:num>
  <w:num w:numId="37">
    <w:abstractNumId w:val="15"/>
  </w:num>
  <w:num w:numId="38">
    <w:abstractNumId w:val="38"/>
  </w:num>
  <w:num w:numId="39">
    <w:abstractNumId w:val="39"/>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3EA"/>
    <w:rsid w:val="00026F8F"/>
    <w:rsid w:val="00074404"/>
    <w:rsid w:val="000A2FAC"/>
    <w:rsid w:val="000A71EB"/>
    <w:rsid w:val="000D4CA4"/>
    <w:rsid w:val="00164AC6"/>
    <w:rsid w:val="00322FBD"/>
    <w:rsid w:val="0033427B"/>
    <w:rsid w:val="004C3AAD"/>
    <w:rsid w:val="0052133F"/>
    <w:rsid w:val="005402B2"/>
    <w:rsid w:val="005F1368"/>
    <w:rsid w:val="00695980"/>
    <w:rsid w:val="007513EA"/>
    <w:rsid w:val="00753A01"/>
    <w:rsid w:val="007B257A"/>
    <w:rsid w:val="007F72AD"/>
    <w:rsid w:val="00807BF1"/>
    <w:rsid w:val="00856169"/>
    <w:rsid w:val="00943DD8"/>
    <w:rsid w:val="00A30092"/>
    <w:rsid w:val="00AC6DEA"/>
    <w:rsid w:val="00B55CE5"/>
    <w:rsid w:val="00BD72EB"/>
    <w:rsid w:val="00D2529B"/>
    <w:rsid w:val="00E02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CE5"/>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B55CE5"/>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55CE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B55CE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B55CE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B55CE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B55CE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B55CE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B55CE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B55CE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CE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55CE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B55CE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B55CE5"/>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B55CE5"/>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uiPriority w:val="9"/>
    <w:semiHidden/>
    <w:rsid w:val="00B55CE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B55CE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B55CE5"/>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uiPriority w:val="9"/>
    <w:semiHidden/>
    <w:rsid w:val="00B55CE5"/>
    <w:rPr>
      <w:rFonts w:asciiTheme="majorHAnsi" w:eastAsiaTheme="majorEastAsia" w:hAnsiTheme="majorHAnsi" w:cstheme="majorBidi"/>
      <w:b/>
      <w:bCs/>
      <w:i/>
      <w:iCs/>
      <w:color w:val="44546A" w:themeColor="text2"/>
      <w:sz w:val="20"/>
      <w:szCs w:val="20"/>
    </w:rPr>
  </w:style>
  <w:style w:type="paragraph" w:styleId="NoSpacing">
    <w:name w:val="No Spacing"/>
    <w:uiPriority w:val="1"/>
    <w:qFormat/>
    <w:rsid w:val="00B55CE5"/>
    <w:pPr>
      <w:spacing w:after="0" w:line="240" w:lineRule="auto"/>
    </w:pPr>
    <w:rPr>
      <w:rFonts w:eastAsiaTheme="minorEastAsia"/>
      <w:sz w:val="20"/>
      <w:szCs w:val="20"/>
    </w:rPr>
  </w:style>
  <w:style w:type="paragraph" w:styleId="Header">
    <w:name w:val="header"/>
    <w:basedOn w:val="Normal"/>
    <w:link w:val="HeaderChar"/>
    <w:uiPriority w:val="99"/>
    <w:unhideWhenUsed/>
    <w:rsid w:val="00B55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CE5"/>
    <w:rPr>
      <w:rFonts w:eastAsiaTheme="minorEastAsia"/>
      <w:sz w:val="20"/>
      <w:szCs w:val="20"/>
    </w:rPr>
  </w:style>
  <w:style w:type="paragraph" w:styleId="Footer">
    <w:name w:val="footer"/>
    <w:basedOn w:val="Normal"/>
    <w:link w:val="FooterChar"/>
    <w:uiPriority w:val="99"/>
    <w:unhideWhenUsed/>
    <w:rsid w:val="00B55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CE5"/>
    <w:rPr>
      <w:rFonts w:eastAsiaTheme="minorEastAsia"/>
      <w:sz w:val="20"/>
      <w:szCs w:val="20"/>
    </w:rPr>
  </w:style>
  <w:style w:type="table" w:styleId="TableGrid">
    <w:name w:val="Table Grid"/>
    <w:basedOn w:val="TableNormal"/>
    <w:uiPriority w:val="59"/>
    <w:rsid w:val="00B55CE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B55CE5"/>
    <w:pPr>
      <w:spacing w:line="240" w:lineRule="auto"/>
    </w:pPr>
  </w:style>
  <w:style w:type="character" w:customStyle="1" w:styleId="CommentTextChar">
    <w:name w:val="Comment Text Char"/>
    <w:basedOn w:val="DefaultParagraphFont"/>
    <w:link w:val="CommentText"/>
    <w:uiPriority w:val="99"/>
    <w:semiHidden/>
    <w:rsid w:val="00B55CE5"/>
    <w:rPr>
      <w:rFonts w:eastAsiaTheme="minorEastAsia"/>
      <w:sz w:val="20"/>
      <w:szCs w:val="20"/>
    </w:rPr>
  </w:style>
  <w:style w:type="character" w:customStyle="1" w:styleId="CommentSubjectChar">
    <w:name w:val="Comment Subject Char"/>
    <w:basedOn w:val="CommentTextChar"/>
    <w:link w:val="CommentSubject"/>
    <w:uiPriority w:val="99"/>
    <w:semiHidden/>
    <w:rsid w:val="00B55CE5"/>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B55CE5"/>
    <w:rPr>
      <w:b/>
      <w:bCs/>
    </w:rPr>
  </w:style>
  <w:style w:type="character" w:customStyle="1" w:styleId="BalloonTextChar">
    <w:name w:val="Balloon Text Char"/>
    <w:basedOn w:val="DefaultParagraphFont"/>
    <w:link w:val="BalloonText"/>
    <w:uiPriority w:val="99"/>
    <w:semiHidden/>
    <w:rsid w:val="00B55CE5"/>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B55CE5"/>
    <w:pPr>
      <w:spacing w:after="0" w:line="240" w:lineRule="auto"/>
    </w:pPr>
    <w:rPr>
      <w:rFonts w:ascii="Segoe UI" w:hAnsi="Segoe UI" w:cs="Segoe UI"/>
      <w:sz w:val="18"/>
      <w:szCs w:val="18"/>
    </w:rPr>
  </w:style>
  <w:style w:type="paragraph" w:styleId="ListParagraph">
    <w:name w:val="List Paragraph"/>
    <w:basedOn w:val="Normal"/>
    <w:uiPriority w:val="34"/>
    <w:qFormat/>
    <w:rsid w:val="00B55CE5"/>
    <w:pPr>
      <w:ind w:left="720"/>
      <w:contextualSpacing/>
    </w:pPr>
  </w:style>
  <w:style w:type="paragraph" w:styleId="Title">
    <w:name w:val="Title"/>
    <w:basedOn w:val="Normal"/>
    <w:next w:val="Normal"/>
    <w:link w:val="TitleChar"/>
    <w:uiPriority w:val="10"/>
    <w:qFormat/>
    <w:rsid w:val="00B55CE5"/>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B55CE5"/>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B55CE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55CE5"/>
    <w:rPr>
      <w:rFonts w:asciiTheme="majorHAnsi" w:eastAsiaTheme="majorEastAsia" w:hAnsiTheme="majorHAnsi" w:cstheme="majorBidi"/>
      <w:sz w:val="24"/>
      <w:szCs w:val="24"/>
    </w:rPr>
  </w:style>
  <w:style w:type="character" w:styleId="Strong">
    <w:name w:val="Strong"/>
    <w:basedOn w:val="DefaultParagraphFont"/>
    <w:uiPriority w:val="22"/>
    <w:qFormat/>
    <w:rsid w:val="00B55CE5"/>
    <w:rPr>
      <w:b/>
      <w:bCs/>
    </w:rPr>
  </w:style>
  <w:style w:type="character" w:styleId="Emphasis">
    <w:name w:val="Emphasis"/>
    <w:basedOn w:val="DefaultParagraphFont"/>
    <w:uiPriority w:val="20"/>
    <w:qFormat/>
    <w:rsid w:val="00B55CE5"/>
    <w:rPr>
      <w:i/>
      <w:iCs/>
    </w:rPr>
  </w:style>
  <w:style w:type="paragraph" w:styleId="Quote">
    <w:name w:val="Quote"/>
    <w:basedOn w:val="Normal"/>
    <w:next w:val="Normal"/>
    <w:link w:val="QuoteChar"/>
    <w:uiPriority w:val="29"/>
    <w:qFormat/>
    <w:rsid w:val="00B55CE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55CE5"/>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B55CE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55CE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55CE5"/>
    <w:rPr>
      <w:i/>
      <w:iCs/>
      <w:color w:val="404040" w:themeColor="text1" w:themeTint="BF"/>
    </w:rPr>
  </w:style>
  <w:style w:type="character" w:styleId="IntenseEmphasis">
    <w:name w:val="Intense Emphasis"/>
    <w:basedOn w:val="DefaultParagraphFont"/>
    <w:uiPriority w:val="21"/>
    <w:qFormat/>
    <w:rsid w:val="00B55CE5"/>
    <w:rPr>
      <w:b/>
      <w:bCs/>
      <w:i/>
      <w:iCs/>
    </w:rPr>
  </w:style>
  <w:style w:type="character" w:styleId="SubtleReference">
    <w:name w:val="Subtle Reference"/>
    <w:basedOn w:val="DefaultParagraphFont"/>
    <w:uiPriority w:val="31"/>
    <w:qFormat/>
    <w:rsid w:val="00B55CE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55CE5"/>
    <w:rPr>
      <w:b/>
      <w:bCs/>
      <w:smallCaps/>
      <w:spacing w:val="5"/>
      <w:u w:val="single"/>
    </w:rPr>
  </w:style>
  <w:style w:type="character" w:styleId="BookTitle">
    <w:name w:val="Book Title"/>
    <w:basedOn w:val="DefaultParagraphFont"/>
    <w:uiPriority w:val="33"/>
    <w:qFormat/>
    <w:rsid w:val="00B55CE5"/>
    <w:rPr>
      <w:b/>
      <w:bCs/>
      <w:smallCaps/>
    </w:rPr>
  </w:style>
  <w:style w:type="paragraph" w:styleId="TOCHeading">
    <w:name w:val="TOC Heading"/>
    <w:basedOn w:val="Heading1"/>
    <w:next w:val="Normal"/>
    <w:uiPriority w:val="39"/>
    <w:semiHidden/>
    <w:unhideWhenUsed/>
    <w:qFormat/>
    <w:rsid w:val="00B55CE5"/>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CE5"/>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B55CE5"/>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55CE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B55CE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B55CE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B55CE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B55CE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B55CE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B55CE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B55CE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CE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55CE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B55CE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B55CE5"/>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B55CE5"/>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uiPriority w:val="9"/>
    <w:semiHidden/>
    <w:rsid w:val="00B55CE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B55CE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B55CE5"/>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uiPriority w:val="9"/>
    <w:semiHidden/>
    <w:rsid w:val="00B55CE5"/>
    <w:rPr>
      <w:rFonts w:asciiTheme="majorHAnsi" w:eastAsiaTheme="majorEastAsia" w:hAnsiTheme="majorHAnsi" w:cstheme="majorBidi"/>
      <w:b/>
      <w:bCs/>
      <w:i/>
      <w:iCs/>
      <w:color w:val="44546A" w:themeColor="text2"/>
      <w:sz w:val="20"/>
      <w:szCs w:val="20"/>
    </w:rPr>
  </w:style>
  <w:style w:type="paragraph" w:styleId="NoSpacing">
    <w:name w:val="No Spacing"/>
    <w:uiPriority w:val="1"/>
    <w:qFormat/>
    <w:rsid w:val="00B55CE5"/>
    <w:pPr>
      <w:spacing w:after="0" w:line="240" w:lineRule="auto"/>
    </w:pPr>
    <w:rPr>
      <w:rFonts w:eastAsiaTheme="minorEastAsia"/>
      <w:sz w:val="20"/>
      <w:szCs w:val="20"/>
    </w:rPr>
  </w:style>
  <w:style w:type="paragraph" w:styleId="Header">
    <w:name w:val="header"/>
    <w:basedOn w:val="Normal"/>
    <w:link w:val="HeaderChar"/>
    <w:uiPriority w:val="99"/>
    <w:unhideWhenUsed/>
    <w:rsid w:val="00B55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CE5"/>
    <w:rPr>
      <w:rFonts w:eastAsiaTheme="minorEastAsia"/>
      <w:sz w:val="20"/>
      <w:szCs w:val="20"/>
    </w:rPr>
  </w:style>
  <w:style w:type="paragraph" w:styleId="Footer">
    <w:name w:val="footer"/>
    <w:basedOn w:val="Normal"/>
    <w:link w:val="FooterChar"/>
    <w:uiPriority w:val="99"/>
    <w:unhideWhenUsed/>
    <w:rsid w:val="00B55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CE5"/>
    <w:rPr>
      <w:rFonts w:eastAsiaTheme="minorEastAsia"/>
      <w:sz w:val="20"/>
      <w:szCs w:val="20"/>
    </w:rPr>
  </w:style>
  <w:style w:type="table" w:styleId="TableGrid">
    <w:name w:val="Table Grid"/>
    <w:basedOn w:val="TableNormal"/>
    <w:uiPriority w:val="59"/>
    <w:rsid w:val="00B55CE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B55CE5"/>
    <w:pPr>
      <w:spacing w:line="240" w:lineRule="auto"/>
    </w:pPr>
  </w:style>
  <w:style w:type="character" w:customStyle="1" w:styleId="CommentTextChar">
    <w:name w:val="Comment Text Char"/>
    <w:basedOn w:val="DefaultParagraphFont"/>
    <w:link w:val="CommentText"/>
    <w:uiPriority w:val="99"/>
    <w:semiHidden/>
    <w:rsid w:val="00B55CE5"/>
    <w:rPr>
      <w:rFonts w:eastAsiaTheme="minorEastAsia"/>
      <w:sz w:val="20"/>
      <w:szCs w:val="20"/>
    </w:rPr>
  </w:style>
  <w:style w:type="character" w:customStyle="1" w:styleId="CommentSubjectChar">
    <w:name w:val="Comment Subject Char"/>
    <w:basedOn w:val="CommentTextChar"/>
    <w:link w:val="CommentSubject"/>
    <w:uiPriority w:val="99"/>
    <w:semiHidden/>
    <w:rsid w:val="00B55CE5"/>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B55CE5"/>
    <w:rPr>
      <w:b/>
      <w:bCs/>
    </w:rPr>
  </w:style>
  <w:style w:type="character" w:customStyle="1" w:styleId="BalloonTextChar">
    <w:name w:val="Balloon Text Char"/>
    <w:basedOn w:val="DefaultParagraphFont"/>
    <w:link w:val="BalloonText"/>
    <w:uiPriority w:val="99"/>
    <w:semiHidden/>
    <w:rsid w:val="00B55CE5"/>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B55CE5"/>
    <w:pPr>
      <w:spacing w:after="0" w:line="240" w:lineRule="auto"/>
    </w:pPr>
    <w:rPr>
      <w:rFonts w:ascii="Segoe UI" w:hAnsi="Segoe UI" w:cs="Segoe UI"/>
      <w:sz w:val="18"/>
      <w:szCs w:val="18"/>
    </w:rPr>
  </w:style>
  <w:style w:type="paragraph" w:styleId="ListParagraph">
    <w:name w:val="List Paragraph"/>
    <w:basedOn w:val="Normal"/>
    <w:uiPriority w:val="34"/>
    <w:qFormat/>
    <w:rsid w:val="00B55CE5"/>
    <w:pPr>
      <w:ind w:left="720"/>
      <w:contextualSpacing/>
    </w:pPr>
  </w:style>
  <w:style w:type="paragraph" w:styleId="Title">
    <w:name w:val="Title"/>
    <w:basedOn w:val="Normal"/>
    <w:next w:val="Normal"/>
    <w:link w:val="TitleChar"/>
    <w:uiPriority w:val="10"/>
    <w:qFormat/>
    <w:rsid w:val="00B55CE5"/>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B55CE5"/>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B55CE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55CE5"/>
    <w:rPr>
      <w:rFonts w:asciiTheme="majorHAnsi" w:eastAsiaTheme="majorEastAsia" w:hAnsiTheme="majorHAnsi" w:cstheme="majorBidi"/>
      <w:sz w:val="24"/>
      <w:szCs w:val="24"/>
    </w:rPr>
  </w:style>
  <w:style w:type="character" w:styleId="Strong">
    <w:name w:val="Strong"/>
    <w:basedOn w:val="DefaultParagraphFont"/>
    <w:uiPriority w:val="22"/>
    <w:qFormat/>
    <w:rsid w:val="00B55CE5"/>
    <w:rPr>
      <w:b/>
      <w:bCs/>
    </w:rPr>
  </w:style>
  <w:style w:type="character" w:styleId="Emphasis">
    <w:name w:val="Emphasis"/>
    <w:basedOn w:val="DefaultParagraphFont"/>
    <w:uiPriority w:val="20"/>
    <w:qFormat/>
    <w:rsid w:val="00B55CE5"/>
    <w:rPr>
      <w:i/>
      <w:iCs/>
    </w:rPr>
  </w:style>
  <w:style w:type="paragraph" w:styleId="Quote">
    <w:name w:val="Quote"/>
    <w:basedOn w:val="Normal"/>
    <w:next w:val="Normal"/>
    <w:link w:val="QuoteChar"/>
    <w:uiPriority w:val="29"/>
    <w:qFormat/>
    <w:rsid w:val="00B55CE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55CE5"/>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B55CE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55CE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55CE5"/>
    <w:rPr>
      <w:i/>
      <w:iCs/>
      <w:color w:val="404040" w:themeColor="text1" w:themeTint="BF"/>
    </w:rPr>
  </w:style>
  <w:style w:type="character" w:styleId="IntenseEmphasis">
    <w:name w:val="Intense Emphasis"/>
    <w:basedOn w:val="DefaultParagraphFont"/>
    <w:uiPriority w:val="21"/>
    <w:qFormat/>
    <w:rsid w:val="00B55CE5"/>
    <w:rPr>
      <w:b/>
      <w:bCs/>
      <w:i/>
      <w:iCs/>
    </w:rPr>
  </w:style>
  <w:style w:type="character" w:styleId="SubtleReference">
    <w:name w:val="Subtle Reference"/>
    <w:basedOn w:val="DefaultParagraphFont"/>
    <w:uiPriority w:val="31"/>
    <w:qFormat/>
    <w:rsid w:val="00B55CE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55CE5"/>
    <w:rPr>
      <w:b/>
      <w:bCs/>
      <w:smallCaps/>
      <w:spacing w:val="5"/>
      <w:u w:val="single"/>
    </w:rPr>
  </w:style>
  <w:style w:type="character" w:styleId="BookTitle">
    <w:name w:val="Book Title"/>
    <w:basedOn w:val="DefaultParagraphFont"/>
    <w:uiPriority w:val="33"/>
    <w:qFormat/>
    <w:rsid w:val="00B55CE5"/>
    <w:rPr>
      <w:b/>
      <w:bCs/>
      <w:smallCaps/>
    </w:rPr>
  </w:style>
  <w:style w:type="paragraph" w:styleId="TOCHeading">
    <w:name w:val="TOC Heading"/>
    <w:basedOn w:val="Heading1"/>
    <w:next w:val="Normal"/>
    <w:uiPriority w:val="39"/>
    <w:semiHidden/>
    <w:unhideWhenUsed/>
    <w:qFormat/>
    <w:rsid w:val="00B55CE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 Llosa</dc:creator>
  <cp:lastModifiedBy>Chuck Wooster</cp:lastModifiedBy>
  <cp:revision>3</cp:revision>
  <dcterms:created xsi:type="dcterms:W3CDTF">2015-05-18T15:09:00Z</dcterms:created>
  <dcterms:modified xsi:type="dcterms:W3CDTF">2015-05-20T20:18:00Z</dcterms:modified>
</cp:coreProperties>
</file>