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36F" w:rsidRDefault="00710E36" w:rsidP="00710E36">
      <w:pPr>
        <w:jc w:val="center"/>
        <w:rPr>
          <w:b/>
          <w:sz w:val="48"/>
          <w:szCs w:val="48"/>
        </w:rPr>
      </w:pPr>
      <w:r w:rsidRPr="00710E36">
        <w:rPr>
          <w:b/>
          <w:sz w:val="48"/>
          <w:szCs w:val="48"/>
        </w:rPr>
        <w:t>Advice of Reception</w:t>
      </w:r>
    </w:p>
    <w:p w:rsidR="007E54D9" w:rsidRDefault="007E54D9" w:rsidP="007E54D9">
      <w:r>
        <w:t>The 2</w:t>
      </w:r>
      <w:r w:rsidRPr="007E54D9">
        <w:rPr>
          <w:vertAlign w:val="superscript"/>
        </w:rPr>
        <w:t>nd</w:t>
      </w:r>
      <w:r>
        <w:t xml:space="preserve"> UPU Congress was held in Paris in 1878 and the resulting agreements became effective on April 1, 1879. </w:t>
      </w:r>
      <w:r w:rsidR="00F07689">
        <w:t>Peru joined the UPU on June 15 1879. The Paris agreement required that each member country offer an Advice of Reception (AR) service for any registered letter or article. The maximum fee that they could charge was 25 centimes (or 5 centavos Peruvian currency). The AR form was to be prepared by the originating post office and was to be mailed separately from the registered article. The fee was to be prepaid in stamps either adhered to the AR form or to the registered article.</w:t>
      </w:r>
    </w:p>
    <w:p w:rsidR="00F07689" w:rsidRDefault="00F07689" w:rsidP="007E54D9">
      <w:r>
        <w:t>The 4</w:t>
      </w:r>
      <w:r w:rsidRPr="00F07689">
        <w:rPr>
          <w:vertAlign w:val="superscript"/>
        </w:rPr>
        <w:t>th</w:t>
      </w:r>
      <w:r>
        <w:t xml:space="preserve"> UPU Congress in Vienna in 1891 (effective July 1, 1892) changed the way AR was handled. The AR form was now to be prepared by the receiving post office. The AR fee was to be prepaid on the registered article, which was also to receive an Avis de Reception marking or more commonly just the initials AR.</w:t>
      </w:r>
      <w:r w:rsidR="004B050D">
        <w:t xml:space="preserve"> At the beginning of 1896, Peru devalued its currency, thereby doubling its postage rates, but kept the AR fee at 5 centavos. On January 1, 1898 it raised its AR fee to 10 centavos or 25 centimes at the new conversion rate.</w:t>
      </w:r>
    </w:p>
    <w:p w:rsidR="004B050D" w:rsidRDefault="004B050D" w:rsidP="007E54D9">
      <w:r>
        <w:t>The 5</w:t>
      </w:r>
      <w:r w:rsidRPr="004B050D">
        <w:rPr>
          <w:vertAlign w:val="superscript"/>
        </w:rPr>
        <w:t>th</w:t>
      </w:r>
      <w:r>
        <w:t xml:space="preserve"> UPU Congress in Washington DC in 1897 (effective January 1, 1899) reversed some of the Vienna requirements. The AR form was now to be prepared by the office of origin. Registered letters which requested an advice of reception were still required to receive an AR marking and the AR fee was paid on the registered letter. </w:t>
      </w:r>
      <w:r w:rsidR="00435B4C">
        <w:t xml:space="preserve">This congress also allowed senders of registered letters to request an advice of reception after the letter was mailed. In this case the fee had to be paid on the request form and the maximum fee was set at 25 centimes. </w:t>
      </w:r>
    </w:p>
    <w:p w:rsidR="00435B4C" w:rsidRDefault="00230A8D" w:rsidP="007E54D9">
      <w:r>
        <w:t>The 8</w:t>
      </w:r>
      <w:r w:rsidRPr="00230A8D">
        <w:rPr>
          <w:vertAlign w:val="superscript"/>
        </w:rPr>
        <w:t>th</w:t>
      </w:r>
      <w:r>
        <w:t xml:space="preserve"> UPU Congress in Stockholm in 1924 (effective October 1, 1925) fixed the </w:t>
      </w:r>
      <w:r w:rsidR="00D860B3">
        <w:t xml:space="preserve">Registration and </w:t>
      </w:r>
      <w:r>
        <w:t>AR fee</w:t>
      </w:r>
      <w:r w:rsidR="00D860B3">
        <w:t>s</w:t>
      </w:r>
      <w:r>
        <w:t xml:space="preserve"> at 40 centimes </w:t>
      </w:r>
      <w:r w:rsidR="00D860B3">
        <w:t xml:space="preserve">each </w:t>
      </w:r>
      <w:r>
        <w:t>at time of mailing. It also allowed countries to charge up to 80 centimes for an advice of reception after mailing.</w:t>
      </w:r>
      <w:r w:rsidR="00D860B3">
        <w:t xml:space="preserve"> However, Article</w:t>
      </w:r>
      <w:r w:rsidR="00D07356">
        <w:t xml:space="preserve"> VII of the Final Protocol of the Convention </w:t>
      </w:r>
      <w:r w:rsidR="00D860B3">
        <w:t xml:space="preserve">allowed countries the flexibility of increasing the registration fee to 50 centimes. Peru took advantage of this article and also increased the AR fee to 50 centimes (20 centavos). </w:t>
      </w:r>
    </w:p>
    <w:p w:rsidR="00D07356" w:rsidRDefault="00D07356" w:rsidP="007E54D9">
      <w:r>
        <w:t>At the same time that Peru approved the Stockholm Convention Protocol, it also appears that Peru initiated an AR service for internal registered mail at the same rate as international mail (in the past it was automatically included in the registry fee). They also appear to have increased the Pan American Postal Union rates for AR service to coincide with the UPU rate.  Finally, Peru raised its rate for AR service after mailing to double that of AR service at time of mailing in accordance with the Stockholm protocol and applied the same rate to internal and Pan American Union AR service.</w:t>
      </w:r>
    </w:p>
    <w:p w:rsidR="00D07356" w:rsidRDefault="001C4CBB" w:rsidP="007E54D9">
      <w:r>
        <w:t>After 1950, r</w:t>
      </w:r>
      <w:r w:rsidR="00D07356">
        <w:t>ates for AR service had many increases, but these are not well documented for lack of access to post office records and for almost no surviving examples. Starting sometime in the 19</w:t>
      </w:r>
      <w:r>
        <w:t>3</w:t>
      </w:r>
      <w:r w:rsidR="00D07356">
        <w:t xml:space="preserve">0’s AR fees were paid by attaching stamps to AR </w:t>
      </w:r>
      <w:r>
        <w:t>reply</w:t>
      </w:r>
      <w:r w:rsidR="00D07356">
        <w:t xml:space="preserve"> cards attached to registered letters.</w:t>
      </w:r>
      <w:r>
        <w:t xml:space="preserve"> These are very rare</w:t>
      </w:r>
      <w:r w:rsidR="000117B8">
        <w:t xml:space="preserve"> and not enough are in collector’s hands to reconstruct AR rates after 1950</w:t>
      </w:r>
      <w:r>
        <w:t>.</w:t>
      </w:r>
      <w:r w:rsidR="005B3F45">
        <w:t xml:space="preserve"> The dates after 1950 in the following chart may not represent the actual start dates for these rates. In addition, there are quite likely rate increases between these dates that are not yet documented.</w:t>
      </w:r>
      <w:bookmarkStart w:id="0" w:name="_GoBack"/>
      <w:bookmarkEnd w:id="0"/>
      <w:r w:rsidR="005B3F45">
        <w:t xml:space="preserve"> </w:t>
      </w:r>
      <w:r w:rsidR="00D07356">
        <w:t xml:space="preserve"> </w:t>
      </w:r>
    </w:p>
    <w:p w:rsidR="00D07356" w:rsidRDefault="00D07356" w:rsidP="007E54D9"/>
    <w:p w:rsidR="00435B4C" w:rsidRPr="007E54D9" w:rsidRDefault="00435B4C" w:rsidP="007E54D9"/>
    <w:p w:rsidR="007E54D9" w:rsidRPr="007E54D9" w:rsidRDefault="007E54D9" w:rsidP="007E54D9"/>
    <w:tbl>
      <w:tblPr>
        <w:tblStyle w:val="TableGrid"/>
        <w:tblW w:w="0" w:type="auto"/>
        <w:tblLook w:val="04A0" w:firstRow="1" w:lastRow="0" w:firstColumn="1" w:lastColumn="0" w:noHBand="0" w:noVBand="1"/>
      </w:tblPr>
      <w:tblGrid>
        <w:gridCol w:w="1440"/>
        <w:gridCol w:w="1152"/>
        <w:gridCol w:w="1152"/>
        <w:gridCol w:w="1152"/>
        <w:gridCol w:w="1152"/>
        <w:gridCol w:w="1152"/>
        <w:gridCol w:w="1152"/>
        <w:gridCol w:w="864"/>
      </w:tblGrid>
      <w:tr w:rsidR="000F6D0F" w:rsidTr="007A5E2B">
        <w:tc>
          <w:tcPr>
            <w:tcW w:w="1440" w:type="dxa"/>
            <w:vMerge w:val="restart"/>
            <w:vAlign w:val="center"/>
          </w:tcPr>
          <w:p w:rsidR="000F6D0F" w:rsidRDefault="000F6D0F" w:rsidP="007A5E2B">
            <w:pPr>
              <w:jc w:val="center"/>
            </w:pPr>
            <w:r>
              <w:t>Date</w:t>
            </w:r>
          </w:p>
        </w:tc>
        <w:tc>
          <w:tcPr>
            <w:tcW w:w="2304" w:type="dxa"/>
            <w:gridSpan w:val="2"/>
          </w:tcPr>
          <w:p w:rsidR="000F6D0F" w:rsidRDefault="000F6D0F" w:rsidP="00710E36">
            <w:pPr>
              <w:jc w:val="center"/>
            </w:pPr>
            <w:r>
              <w:t>Domestic</w:t>
            </w:r>
          </w:p>
        </w:tc>
        <w:tc>
          <w:tcPr>
            <w:tcW w:w="2304" w:type="dxa"/>
            <w:gridSpan w:val="2"/>
          </w:tcPr>
          <w:p w:rsidR="000F6D0F" w:rsidRDefault="000F6D0F" w:rsidP="00710E36">
            <w:pPr>
              <w:jc w:val="center"/>
            </w:pPr>
            <w:r>
              <w:t>Pan American Postal Union</w:t>
            </w:r>
          </w:p>
        </w:tc>
        <w:tc>
          <w:tcPr>
            <w:tcW w:w="2304" w:type="dxa"/>
            <w:gridSpan w:val="2"/>
          </w:tcPr>
          <w:p w:rsidR="000F6D0F" w:rsidRDefault="000F6D0F" w:rsidP="00710E36">
            <w:pPr>
              <w:jc w:val="center"/>
            </w:pPr>
            <w:r>
              <w:t>UPU</w:t>
            </w:r>
          </w:p>
        </w:tc>
        <w:tc>
          <w:tcPr>
            <w:tcW w:w="864" w:type="dxa"/>
            <w:vMerge w:val="restart"/>
            <w:vAlign w:val="center"/>
          </w:tcPr>
          <w:p w:rsidR="000F6D0F" w:rsidRDefault="000F6D0F" w:rsidP="000F6D0F">
            <w:pPr>
              <w:jc w:val="center"/>
            </w:pPr>
            <w:r>
              <w:t>Source</w:t>
            </w:r>
          </w:p>
        </w:tc>
      </w:tr>
      <w:tr w:rsidR="000F6D0F" w:rsidTr="00ED1737">
        <w:tc>
          <w:tcPr>
            <w:tcW w:w="1440" w:type="dxa"/>
            <w:vMerge/>
          </w:tcPr>
          <w:p w:rsidR="000F6D0F" w:rsidRDefault="000F6D0F" w:rsidP="00710E36">
            <w:pPr>
              <w:jc w:val="center"/>
            </w:pPr>
          </w:p>
        </w:tc>
        <w:tc>
          <w:tcPr>
            <w:tcW w:w="1152" w:type="dxa"/>
          </w:tcPr>
          <w:p w:rsidR="000F6D0F" w:rsidRDefault="000F6D0F" w:rsidP="00ED1737">
            <w:pPr>
              <w:jc w:val="center"/>
            </w:pPr>
            <w:r>
              <w:t>At Time of Mailing</w:t>
            </w:r>
          </w:p>
        </w:tc>
        <w:tc>
          <w:tcPr>
            <w:tcW w:w="1152" w:type="dxa"/>
          </w:tcPr>
          <w:p w:rsidR="000F6D0F" w:rsidRDefault="000F6D0F" w:rsidP="007A5E2B">
            <w:pPr>
              <w:jc w:val="center"/>
            </w:pPr>
            <w:r>
              <w:t>After Mailing</w:t>
            </w:r>
          </w:p>
        </w:tc>
        <w:tc>
          <w:tcPr>
            <w:tcW w:w="1152" w:type="dxa"/>
          </w:tcPr>
          <w:p w:rsidR="000F6D0F" w:rsidRDefault="000F6D0F" w:rsidP="00ED1737">
            <w:pPr>
              <w:jc w:val="center"/>
            </w:pPr>
            <w:r>
              <w:t>At Time of Mailing</w:t>
            </w:r>
          </w:p>
        </w:tc>
        <w:tc>
          <w:tcPr>
            <w:tcW w:w="1152" w:type="dxa"/>
          </w:tcPr>
          <w:p w:rsidR="000F6D0F" w:rsidRDefault="000F6D0F" w:rsidP="00ED1737">
            <w:pPr>
              <w:jc w:val="center"/>
            </w:pPr>
            <w:r>
              <w:t xml:space="preserve">After Mailing </w:t>
            </w:r>
          </w:p>
        </w:tc>
        <w:tc>
          <w:tcPr>
            <w:tcW w:w="1152" w:type="dxa"/>
          </w:tcPr>
          <w:p w:rsidR="000F6D0F" w:rsidRDefault="000F6D0F" w:rsidP="00ED1737">
            <w:pPr>
              <w:jc w:val="center"/>
            </w:pPr>
            <w:r>
              <w:t>At Time of Mailing</w:t>
            </w:r>
          </w:p>
        </w:tc>
        <w:tc>
          <w:tcPr>
            <w:tcW w:w="1152" w:type="dxa"/>
          </w:tcPr>
          <w:p w:rsidR="000F6D0F" w:rsidRDefault="000F6D0F" w:rsidP="00ED1737">
            <w:pPr>
              <w:jc w:val="center"/>
            </w:pPr>
            <w:r>
              <w:t>After Mailing</w:t>
            </w:r>
          </w:p>
        </w:tc>
        <w:tc>
          <w:tcPr>
            <w:tcW w:w="864" w:type="dxa"/>
            <w:vMerge/>
          </w:tcPr>
          <w:p w:rsidR="000F6D0F" w:rsidRDefault="000F6D0F" w:rsidP="00710E36">
            <w:pPr>
              <w:jc w:val="center"/>
            </w:pPr>
          </w:p>
        </w:tc>
      </w:tr>
      <w:tr w:rsidR="00ED1737" w:rsidTr="007A5E2B">
        <w:tc>
          <w:tcPr>
            <w:tcW w:w="1440" w:type="dxa"/>
          </w:tcPr>
          <w:p w:rsidR="00ED1737" w:rsidRDefault="00ED1737" w:rsidP="00710E36">
            <w:pPr>
              <w:jc w:val="center"/>
            </w:pPr>
            <w:r>
              <w:t>6/15/1879</w:t>
            </w:r>
          </w:p>
        </w:tc>
        <w:tc>
          <w:tcPr>
            <w:tcW w:w="1152" w:type="dxa"/>
          </w:tcPr>
          <w:p w:rsidR="00ED1737" w:rsidRDefault="00ED1737" w:rsidP="00710E36">
            <w:pPr>
              <w:jc w:val="center"/>
            </w:pPr>
            <w:r>
              <w:t>N/A</w:t>
            </w:r>
          </w:p>
        </w:tc>
        <w:tc>
          <w:tcPr>
            <w:tcW w:w="1152" w:type="dxa"/>
          </w:tcPr>
          <w:p w:rsidR="00ED1737" w:rsidRDefault="00ED1737" w:rsidP="00710E36">
            <w:pPr>
              <w:jc w:val="center"/>
            </w:pPr>
            <w:r>
              <w:t>N/A</w:t>
            </w:r>
          </w:p>
        </w:tc>
        <w:tc>
          <w:tcPr>
            <w:tcW w:w="1152" w:type="dxa"/>
          </w:tcPr>
          <w:p w:rsidR="00ED1737" w:rsidRDefault="00F9574B" w:rsidP="00710E36">
            <w:pPr>
              <w:jc w:val="center"/>
            </w:pPr>
            <w:r>
              <w:t>N/A</w:t>
            </w:r>
          </w:p>
        </w:tc>
        <w:tc>
          <w:tcPr>
            <w:tcW w:w="1152" w:type="dxa"/>
          </w:tcPr>
          <w:p w:rsidR="00ED1737" w:rsidRDefault="00F9574B" w:rsidP="00710E36">
            <w:pPr>
              <w:jc w:val="center"/>
            </w:pPr>
            <w:r>
              <w:t>N/A</w:t>
            </w:r>
          </w:p>
        </w:tc>
        <w:tc>
          <w:tcPr>
            <w:tcW w:w="1152" w:type="dxa"/>
          </w:tcPr>
          <w:p w:rsidR="00ED1737" w:rsidRDefault="00ED1737" w:rsidP="00710E36">
            <w:pPr>
              <w:jc w:val="center"/>
            </w:pPr>
            <w:r>
              <w:t>5c</w:t>
            </w:r>
          </w:p>
        </w:tc>
        <w:tc>
          <w:tcPr>
            <w:tcW w:w="1152" w:type="dxa"/>
          </w:tcPr>
          <w:p w:rsidR="00ED1737" w:rsidRDefault="00ED1737" w:rsidP="00710E36">
            <w:pPr>
              <w:jc w:val="center"/>
            </w:pPr>
            <w:r>
              <w:t>N/A</w:t>
            </w:r>
          </w:p>
        </w:tc>
        <w:tc>
          <w:tcPr>
            <w:tcW w:w="864" w:type="dxa"/>
            <w:vAlign w:val="center"/>
          </w:tcPr>
          <w:p w:rsidR="00ED1737" w:rsidRDefault="00ED1737" w:rsidP="007A5E2B">
            <w:pPr>
              <w:jc w:val="center"/>
            </w:pPr>
          </w:p>
        </w:tc>
      </w:tr>
      <w:tr w:rsidR="00ED1737" w:rsidTr="007A5E2B">
        <w:tc>
          <w:tcPr>
            <w:tcW w:w="1440" w:type="dxa"/>
          </w:tcPr>
          <w:p w:rsidR="00ED1737" w:rsidRDefault="00ED1737" w:rsidP="00710E36">
            <w:pPr>
              <w:jc w:val="center"/>
            </w:pPr>
            <w:r>
              <w:t>1/1/1898</w:t>
            </w:r>
          </w:p>
        </w:tc>
        <w:tc>
          <w:tcPr>
            <w:tcW w:w="1152" w:type="dxa"/>
          </w:tcPr>
          <w:p w:rsidR="00ED1737" w:rsidRDefault="00ED1737" w:rsidP="00710E36">
            <w:pPr>
              <w:jc w:val="center"/>
            </w:pPr>
            <w:r>
              <w:t>N/A</w:t>
            </w:r>
          </w:p>
        </w:tc>
        <w:tc>
          <w:tcPr>
            <w:tcW w:w="1152" w:type="dxa"/>
          </w:tcPr>
          <w:p w:rsidR="00ED1737" w:rsidRDefault="00ED1737" w:rsidP="00710E36">
            <w:pPr>
              <w:jc w:val="center"/>
            </w:pPr>
            <w:r>
              <w:t>N/A</w:t>
            </w:r>
          </w:p>
        </w:tc>
        <w:tc>
          <w:tcPr>
            <w:tcW w:w="1152" w:type="dxa"/>
          </w:tcPr>
          <w:p w:rsidR="00ED1737" w:rsidRDefault="00F9574B" w:rsidP="00710E36">
            <w:pPr>
              <w:jc w:val="center"/>
            </w:pPr>
            <w:r>
              <w:t>N/A</w:t>
            </w:r>
          </w:p>
        </w:tc>
        <w:tc>
          <w:tcPr>
            <w:tcW w:w="1152" w:type="dxa"/>
          </w:tcPr>
          <w:p w:rsidR="00ED1737" w:rsidRDefault="00F9574B" w:rsidP="00710E36">
            <w:pPr>
              <w:jc w:val="center"/>
            </w:pPr>
            <w:r>
              <w:t>N/A</w:t>
            </w:r>
          </w:p>
        </w:tc>
        <w:tc>
          <w:tcPr>
            <w:tcW w:w="1152" w:type="dxa"/>
          </w:tcPr>
          <w:p w:rsidR="00ED1737" w:rsidRDefault="00ED1737" w:rsidP="00710E36">
            <w:pPr>
              <w:jc w:val="center"/>
            </w:pPr>
            <w:r>
              <w:t>10c</w:t>
            </w:r>
          </w:p>
        </w:tc>
        <w:tc>
          <w:tcPr>
            <w:tcW w:w="1152" w:type="dxa"/>
          </w:tcPr>
          <w:p w:rsidR="00ED1737" w:rsidRDefault="00F17939" w:rsidP="00710E36">
            <w:pPr>
              <w:jc w:val="center"/>
            </w:pPr>
            <w:r>
              <w:t>N/A</w:t>
            </w:r>
          </w:p>
        </w:tc>
        <w:tc>
          <w:tcPr>
            <w:tcW w:w="864" w:type="dxa"/>
            <w:vAlign w:val="center"/>
          </w:tcPr>
          <w:p w:rsidR="00ED1737" w:rsidRDefault="00E232DF" w:rsidP="00E232DF">
            <w:pPr>
              <w:jc w:val="center"/>
            </w:pPr>
            <w:r>
              <w:t>1</w:t>
            </w:r>
          </w:p>
        </w:tc>
      </w:tr>
      <w:tr w:rsidR="00F17939" w:rsidTr="007A5E2B">
        <w:tc>
          <w:tcPr>
            <w:tcW w:w="1440" w:type="dxa"/>
          </w:tcPr>
          <w:p w:rsidR="00F17939" w:rsidRDefault="00F17939" w:rsidP="00710E36">
            <w:pPr>
              <w:jc w:val="center"/>
            </w:pPr>
            <w:r>
              <w:t>1/1/1912</w:t>
            </w:r>
          </w:p>
        </w:tc>
        <w:tc>
          <w:tcPr>
            <w:tcW w:w="1152" w:type="dxa"/>
          </w:tcPr>
          <w:p w:rsidR="00F17939" w:rsidRDefault="00F17939" w:rsidP="00120E7D">
            <w:pPr>
              <w:jc w:val="center"/>
            </w:pPr>
            <w:r>
              <w:t>N/A</w:t>
            </w:r>
          </w:p>
        </w:tc>
        <w:tc>
          <w:tcPr>
            <w:tcW w:w="1152" w:type="dxa"/>
          </w:tcPr>
          <w:p w:rsidR="00F17939" w:rsidRDefault="00F17939" w:rsidP="00120E7D">
            <w:pPr>
              <w:jc w:val="center"/>
            </w:pPr>
            <w:r>
              <w:t>N/A</w:t>
            </w:r>
          </w:p>
        </w:tc>
        <w:tc>
          <w:tcPr>
            <w:tcW w:w="1152" w:type="dxa"/>
          </w:tcPr>
          <w:p w:rsidR="00F17939" w:rsidRDefault="00F17939" w:rsidP="00EC381C">
            <w:pPr>
              <w:jc w:val="center"/>
            </w:pPr>
            <w:r>
              <w:t>8c</w:t>
            </w:r>
          </w:p>
        </w:tc>
        <w:tc>
          <w:tcPr>
            <w:tcW w:w="1152" w:type="dxa"/>
          </w:tcPr>
          <w:p w:rsidR="00F17939" w:rsidRDefault="00F17939" w:rsidP="009D4BA5">
            <w:pPr>
              <w:jc w:val="center"/>
            </w:pPr>
            <w:r>
              <w:t>8c</w:t>
            </w:r>
          </w:p>
        </w:tc>
        <w:tc>
          <w:tcPr>
            <w:tcW w:w="1152" w:type="dxa"/>
          </w:tcPr>
          <w:p w:rsidR="00F17939" w:rsidRDefault="00F17939" w:rsidP="00EC381C">
            <w:pPr>
              <w:jc w:val="center"/>
            </w:pPr>
            <w:r>
              <w:t>10c</w:t>
            </w:r>
          </w:p>
        </w:tc>
        <w:tc>
          <w:tcPr>
            <w:tcW w:w="1152" w:type="dxa"/>
          </w:tcPr>
          <w:p w:rsidR="00F17939" w:rsidRDefault="00F17939" w:rsidP="00F17939">
            <w:pPr>
              <w:jc w:val="center"/>
            </w:pPr>
            <w:r w:rsidRPr="00F07133">
              <w:t>10c</w:t>
            </w:r>
          </w:p>
        </w:tc>
        <w:tc>
          <w:tcPr>
            <w:tcW w:w="864" w:type="dxa"/>
            <w:vAlign w:val="center"/>
          </w:tcPr>
          <w:p w:rsidR="00F17939" w:rsidRDefault="00E232DF" w:rsidP="00E232DF">
            <w:pPr>
              <w:jc w:val="center"/>
            </w:pPr>
            <w:r>
              <w:t>2</w:t>
            </w:r>
          </w:p>
        </w:tc>
      </w:tr>
      <w:tr w:rsidR="006B11A7" w:rsidTr="007A5E2B">
        <w:tc>
          <w:tcPr>
            <w:tcW w:w="1440" w:type="dxa"/>
            <w:vAlign w:val="center"/>
          </w:tcPr>
          <w:p w:rsidR="006B11A7" w:rsidRDefault="006B11A7" w:rsidP="005622A6">
            <w:pPr>
              <w:jc w:val="center"/>
            </w:pPr>
            <w:r>
              <w:t>10/1/1925</w:t>
            </w:r>
          </w:p>
        </w:tc>
        <w:tc>
          <w:tcPr>
            <w:tcW w:w="1152" w:type="dxa"/>
            <w:vAlign w:val="center"/>
          </w:tcPr>
          <w:p w:rsidR="006B11A7" w:rsidRDefault="00B2305B" w:rsidP="005622A6">
            <w:pPr>
              <w:jc w:val="center"/>
            </w:pPr>
            <w:r>
              <w:t>20c</w:t>
            </w:r>
          </w:p>
        </w:tc>
        <w:tc>
          <w:tcPr>
            <w:tcW w:w="1152" w:type="dxa"/>
            <w:vAlign w:val="center"/>
          </w:tcPr>
          <w:p w:rsidR="006B11A7" w:rsidRDefault="00D07356" w:rsidP="00D07356">
            <w:pPr>
              <w:jc w:val="center"/>
            </w:pPr>
            <w:r>
              <w:t>40c</w:t>
            </w:r>
          </w:p>
        </w:tc>
        <w:tc>
          <w:tcPr>
            <w:tcW w:w="1152" w:type="dxa"/>
          </w:tcPr>
          <w:p w:rsidR="006B11A7" w:rsidRDefault="006B11A7" w:rsidP="00120E7D">
            <w:pPr>
              <w:jc w:val="center"/>
            </w:pPr>
            <w:r>
              <w:t>20c</w:t>
            </w:r>
          </w:p>
        </w:tc>
        <w:tc>
          <w:tcPr>
            <w:tcW w:w="1152" w:type="dxa"/>
          </w:tcPr>
          <w:p w:rsidR="006B11A7" w:rsidRDefault="00D07356" w:rsidP="00D07356">
            <w:pPr>
              <w:jc w:val="center"/>
            </w:pPr>
            <w:r>
              <w:t>4</w:t>
            </w:r>
            <w:r w:rsidR="006B11A7">
              <w:t>0c</w:t>
            </w:r>
          </w:p>
        </w:tc>
        <w:tc>
          <w:tcPr>
            <w:tcW w:w="1152" w:type="dxa"/>
            <w:vAlign w:val="center"/>
          </w:tcPr>
          <w:p w:rsidR="006B11A7" w:rsidRDefault="006B11A7" w:rsidP="005622A6">
            <w:pPr>
              <w:jc w:val="center"/>
            </w:pPr>
            <w:r>
              <w:t>20c</w:t>
            </w:r>
          </w:p>
        </w:tc>
        <w:tc>
          <w:tcPr>
            <w:tcW w:w="1152" w:type="dxa"/>
            <w:vAlign w:val="center"/>
          </w:tcPr>
          <w:p w:rsidR="006B11A7" w:rsidRDefault="006B11A7" w:rsidP="005622A6">
            <w:pPr>
              <w:jc w:val="center"/>
            </w:pPr>
            <w:r>
              <w:t>40c</w:t>
            </w:r>
          </w:p>
        </w:tc>
        <w:tc>
          <w:tcPr>
            <w:tcW w:w="864" w:type="dxa"/>
            <w:vAlign w:val="center"/>
          </w:tcPr>
          <w:p w:rsidR="006B11A7" w:rsidRDefault="00E232DF" w:rsidP="00E232DF">
            <w:pPr>
              <w:jc w:val="center"/>
            </w:pPr>
            <w:r>
              <w:t>3</w:t>
            </w:r>
          </w:p>
        </w:tc>
      </w:tr>
      <w:tr w:rsidR="00F17939" w:rsidTr="007A5E2B">
        <w:tc>
          <w:tcPr>
            <w:tcW w:w="1440" w:type="dxa"/>
          </w:tcPr>
          <w:p w:rsidR="00F17939" w:rsidRDefault="00F17939" w:rsidP="00710E36">
            <w:pPr>
              <w:jc w:val="center"/>
            </w:pPr>
            <w:r>
              <w:t>1951</w:t>
            </w:r>
          </w:p>
        </w:tc>
        <w:tc>
          <w:tcPr>
            <w:tcW w:w="1152" w:type="dxa"/>
          </w:tcPr>
          <w:p w:rsidR="00F17939" w:rsidRDefault="00F17939" w:rsidP="00411D8F">
            <w:pPr>
              <w:jc w:val="center"/>
            </w:pPr>
            <w:r>
              <w:t>30c</w:t>
            </w:r>
          </w:p>
        </w:tc>
        <w:tc>
          <w:tcPr>
            <w:tcW w:w="1152" w:type="dxa"/>
          </w:tcPr>
          <w:p w:rsidR="00F17939" w:rsidRDefault="00F17939" w:rsidP="00411D8F">
            <w:pPr>
              <w:jc w:val="center"/>
            </w:pPr>
            <w:r>
              <w:t>60c</w:t>
            </w:r>
          </w:p>
        </w:tc>
        <w:tc>
          <w:tcPr>
            <w:tcW w:w="1152" w:type="dxa"/>
          </w:tcPr>
          <w:p w:rsidR="00F17939" w:rsidRDefault="00F17939" w:rsidP="00120E7D">
            <w:pPr>
              <w:jc w:val="center"/>
            </w:pPr>
            <w:r>
              <w:t>30c</w:t>
            </w:r>
          </w:p>
        </w:tc>
        <w:tc>
          <w:tcPr>
            <w:tcW w:w="1152" w:type="dxa"/>
          </w:tcPr>
          <w:p w:rsidR="00F17939" w:rsidRDefault="00F17939" w:rsidP="00120E7D">
            <w:pPr>
              <w:jc w:val="center"/>
            </w:pPr>
            <w:r>
              <w:t>60c</w:t>
            </w:r>
          </w:p>
        </w:tc>
        <w:tc>
          <w:tcPr>
            <w:tcW w:w="1152" w:type="dxa"/>
          </w:tcPr>
          <w:p w:rsidR="00F17939" w:rsidRDefault="00F17939" w:rsidP="00411D8F">
            <w:pPr>
              <w:jc w:val="center"/>
            </w:pPr>
            <w:r>
              <w:t>30c</w:t>
            </w:r>
          </w:p>
        </w:tc>
        <w:tc>
          <w:tcPr>
            <w:tcW w:w="1152" w:type="dxa"/>
          </w:tcPr>
          <w:p w:rsidR="00F17939" w:rsidRDefault="00F17939" w:rsidP="00411D8F">
            <w:pPr>
              <w:jc w:val="center"/>
            </w:pPr>
            <w:r>
              <w:t>60c</w:t>
            </w:r>
          </w:p>
        </w:tc>
        <w:tc>
          <w:tcPr>
            <w:tcW w:w="864" w:type="dxa"/>
            <w:vAlign w:val="center"/>
          </w:tcPr>
          <w:p w:rsidR="00F17939" w:rsidRDefault="005B3F45" w:rsidP="005B3F45">
            <w:pPr>
              <w:jc w:val="center"/>
            </w:pPr>
            <w:r>
              <w:t>4</w:t>
            </w:r>
          </w:p>
        </w:tc>
      </w:tr>
      <w:tr w:rsidR="00F17939" w:rsidTr="007A5E2B">
        <w:tc>
          <w:tcPr>
            <w:tcW w:w="1440" w:type="dxa"/>
          </w:tcPr>
          <w:p w:rsidR="00F17939" w:rsidRDefault="00F17939" w:rsidP="00710E36">
            <w:pPr>
              <w:jc w:val="center"/>
            </w:pPr>
            <w:r>
              <w:t>1958</w:t>
            </w:r>
          </w:p>
        </w:tc>
        <w:tc>
          <w:tcPr>
            <w:tcW w:w="1152" w:type="dxa"/>
          </w:tcPr>
          <w:p w:rsidR="00F17939" w:rsidRDefault="00F17939" w:rsidP="00710E36">
            <w:pPr>
              <w:jc w:val="center"/>
            </w:pPr>
            <w:r>
              <w:t>50c</w:t>
            </w:r>
          </w:p>
        </w:tc>
        <w:tc>
          <w:tcPr>
            <w:tcW w:w="1152" w:type="dxa"/>
          </w:tcPr>
          <w:p w:rsidR="00F17939" w:rsidRDefault="00F17939" w:rsidP="00710E36">
            <w:pPr>
              <w:jc w:val="center"/>
            </w:pPr>
            <w:r>
              <w:t>1s</w:t>
            </w:r>
          </w:p>
        </w:tc>
        <w:tc>
          <w:tcPr>
            <w:tcW w:w="1152" w:type="dxa"/>
          </w:tcPr>
          <w:p w:rsidR="00F17939" w:rsidRDefault="00F17939" w:rsidP="00120E7D">
            <w:pPr>
              <w:jc w:val="center"/>
            </w:pPr>
            <w:r>
              <w:t>50c</w:t>
            </w:r>
          </w:p>
        </w:tc>
        <w:tc>
          <w:tcPr>
            <w:tcW w:w="1152" w:type="dxa"/>
          </w:tcPr>
          <w:p w:rsidR="00F17939" w:rsidRDefault="00F17939" w:rsidP="00120E7D">
            <w:pPr>
              <w:jc w:val="center"/>
            </w:pPr>
            <w:r>
              <w:t>1s</w:t>
            </w:r>
          </w:p>
        </w:tc>
        <w:tc>
          <w:tcPr>
            <w:tcW w:w="1152" w:type="dxa"/>
          </w:tcPr>
          <w:p w:rsidR="00F17939" w:rsidRDefault="00F17939" w:rsidP="00120E7D">
            <w:pPr>
              <w:jc w:val="center"/>
            </w:pPr>
            <w:r>
              <w:t>1s</w:t>
            </w:r>
          </w:p>
        </w:tc>
        <w:tc>
          <w:tcPr>
            <w:tcW w:w="1152" w:type="dxa"/>
          </w:tcPr>
          <w:p w:rsidR="00F17939" w:rsidRDefault="00F17939" w:rsidP="00120E7D">
            <w:pPr>
              <w:jc w:val="center"/>
            </w:pPr>
            <w:r>
              <w:t>2s</w:t>
            </w:r>
          </w:p>
        </w:tc>
        <w:tc>
          <w:tcPr>
            <w:tcW w:w="864" w:type="dxa"/>
            <w:vAlign w:val="center"/>
          </w:tcPr>
          <w:p w:rsidR="00F17939" w:rsidRDefault="005B3F45" w:rsidP="005B3F45">
            <w:pPr>
              <w:jc w:val="center"/>
            </w:pPr>
            <w:r>
              <w:t>5</w:t>
            </w:r>
          </w:p>
        </w:tc>
      </w:tr>
      <w:tr w:rsidR="00F17939" w:rsidTr="007A5E2B">
        <w:tc>
          <w:tcPr>
            <w:tcW w:w="1440" w:type="dxa"/>
          </w:tcPr>
          <w:p w:rsidR="00F17939" w:rsidRDefault="00F17939" w:rsidP="00710E36">
            <w:pPr>
              <w:jc w:val="center"/>
            </w:pPr>
            <w:r>
              <w:t>1960</w:t>
            </w:r>
          </w:p>
        </w:tc>
        <w:tc>
          <w:tcPr>
            <w:tcW w:w="1152" w:type="dxa"/>
          </w:tcPr>
          <w:p w:rsidR="00F17939" w:rsidRDefault="00F17939" w:rsidP="00120E7D">
            <w:pPr>
              <w:jc w:val="center"/>
            </w:pPr>
            <w:r>
              <w:t>50c</w:t>
            </w:r>
          </w:p>
        </w:tc>
        <w:tc>
          <w:tcPr>
            <w:tcW w:w="1152" w:type="dxa"/>
          </w:tcPr>
          <w:p w:rsidR="00F17939" w:rsidRDefault="00F17939" w:rsidP="00120E7D">
            <w:pPr>
              <w:jc w:val="center"/>
            </w:pPr>
            <w:r>
              <w:t>1s</w:t>
            </w:r>
          </w:p>
        </w:tc>
        <w:tc>
          <w:tcPr>
            <w:tcW w:w="1152" w:type="dxa"/>
          </w:tcPr>
          <w:p w:rsidR="00F17939" w:rsidRDefault="00F17939" w:rsidP="00120E7D">
            <w:pPr>
              <w:jc w:val="center"/>
            </w:pPr>
            <w:r>
              <w:t>50c</w:t>
            </w:r>
          </w:p>
        </w:tc>
        <w:tc>
          <w:tcPr>
            <w:tcW w:w="1152" w:type="dxa"/>
          </w:tcPr>
          <w:p w:rsidR="00F17939" w:rsidRDefault="00F17939" w:rsidP="00120E7D">
            <w:pPr>
              <w:jc w:val="center"/>
            </w:pPr>
            <w:r>
              <w:t>1s</w:t>
            </w:r>
          </w:p>
        </w:tc>
        <w:tc>
          <w:tcPr>
            <w:tcW w:w="1152" w:type="dxa"/>
          </w:tcPr>
          <w:p w:rsidR="00F17939" w:rsidRDefault="00F17939" w:rsidP="00710E36">
            <w:pPr>
              <w:jc w:val="center"/>
            </w:pPr>
            <w:r>
              <w:t>1.5s</w:t>
            </w:r>
          </w:p>
        </w:tc>
        <w:tc>
          <w:tcPr>
            <w:tcW w:w="1152" w:type="dxa"/>
          </w:tcPr>
          <w:p w:rsidR="00F17939" w:rsidRDefault="00F17939" w:rsidP="00710E36">
            <w:pPr>
              <w:jc w:val="center"/>
            </w:pPr>
            <w:r>
              <w:t>3s</w:t>
            </w:r>
          </w:p>
        </w:tc>
        <w:tc>
          <w:tcPr>
            <w:tcW w:w="864" w:type="dxa"/>
            <w:vAlign w:val="center"/>
          </w:tcPr>
          <w:p w:rsidR="00F17939" w:rsidRDefault="005B3F45" w:rsidP="005B3F45">
            <w:pPr>
              <w:jc w:val="center"/>
            </w:pPr>
            <w:r>
              <w:t>6</w:t>
            </w:r>
          </w:p>
        </w:tc>
      </w:tr>
      <w:tr w:rsidR="00F17939" w:rsidTr="007A5E2B">
        <w:tc>
          <w:tcPr>
            <w:tcW w:w="1440" w:type="dxa"/>
          </w:tcPr>
          <w:p w:rsidR="00F17939" w:rsidRDefault="00F17939" w:rsidP="00710E36">
            <w:pPr>
              <w:jc w:val="center"/>
            </w:pPr>
            <w:r>
              <w:t>1962</w:t>
            </w:r>
          </w:p>
        </w:tc>
        <w:tc>
          <w:tcPr>
            <w:tcW w:w="1152" w:type="dxa"/>
          </w:tcPr>
          <w:p w:rsidR="00F17939" w:rsidRDefault="00F17939" w:rsidP="00710E36">
            <w:pPr>
              <w:jc w:val="center"/>
            </w:pPr>
            <w:r>
              <w:t>1s</w:t>
            </w:r>
          </w:p>
        </w:tc>
        <w:tc>
          <w:tcPr>
            <w:tcW w:w="1152" w:type="dxa"/>
          </w:tcPr>
          <w:p w:rsidR="00F17939" w:rsidRDefault="00F17939" w:rsidP="00710E36">
            <w:pPr>
              <w:jc w:val="center"/>
            </w:pPr>
            <w:r>
              <w:t>2s</w:t>
            </w:r>
          </w:p>
        </w:tc>
        <w:tc>
          <w:tcPr>
            <w:tcW w:w="1152" w:type="dxa"/>
          </w:tcPr>
          <w:p w:rsidR="00F17939" w:rsidRDefault="00F17939" w:rsidP="00120E7D">
            <w:pPr>
              <w:jc w:val="center"/>
            </w:pPr>
            <w:r>
              <w:t>1s</w:t>
            </w:r>
          </w:p>
        </w:tc>
        <w:tc>
          <w:tcPr>
            <w:tcW w:w="1152" w:type="dxa"/>
          </w:tcPr>
          <w:p w:rsidR="00F17939" w:rsidRDefault="00F17939" w:rsidP="00120E7D">
            <w:pPr>
              <w:jc w:val="center"/>
            </w:pPr>
            <w:r>
              <w:t>2s</w:t>
            </w:r>
          </w:p>
        </w:tc>
        <w:tc>
          <w:tcPr>
            <w:tcW w:w="1152" w:type="dxa"/>
          </w:tcPr>
          <w:p w:rsidR="00F17939" w:rsidRDefault="00F17939" w:rsidP="00120E7D">
            <w:pPr>
              <w:jc w:val="center"/>
            </w:pPr>
            <w:r>
              <w:t>1.5s</w:t>
            </w:r>
          </w:p>
        </w:tc>
        <w:tc>
          <w:tcPr>
            <w:tcW w:w="1152" w:type="dxa"/>
          </w:tcPr>
          <w:p w:rsidR="00F17939" w:rsidRDefault="00F17939" w:rsidP="00120E7D">
            <w:pPr>
              <w:jc w:val="center"/>
            </w:pPr>
            <w:r>
              <w:t>3s</w:t>
            </w:r>
          </w:p>
        </w:tc>
        <w:tc>
          <w:tcPr>
            <w:tcW w:w="864" w:type="dxa"/>
            <w:vAlign w:val="center"/>
          </w:tcPr>
          <w:p w:rsidR="00F17939" w:rsidRDefault="005B3F45" w:rsidP="005B3F45">
            <w:pPr>
              <w:jc w:val="center"/>
            </w:pPr>
            <w:r>
              <w:t>7</w:t>
            </w:r>
          </w:p>
        </w:tc>
      </w:tr>
      <w:tr w:rsidR="00F17939" w:rsidTr="007A5E2B">
        <w:tc>
          <w:tcPr>
            <w:tcW w:w="1440" w:type="dxa"/>
          </w:tcPr>
          <w:p w:rsidR="00F17939" w:rsidRDefault="00F17939" w:rsidP="00710E36">
            <w:pPr>
              <w:jc w:val="center"/>
            </w:pPr>
            <w:r>
              <w:t>1964</w:t>
            </w:r>
          </w:p>
        </w:tc>
        <w:tc>
          <w:tcPr>
            <w:tcW w:w="1152" w:type="dxa"/>
          </w:tcPr>
          <w:p w:rsidR="00F17939" w:rsidRDefault="00F17939" w:rsidP="00710E36">
            <w:pPr>
              <w:jc w:val="center"/>
            </w:pPr>
            <w:r>
              <w:t>2s</w:t>
            </w:r>
          </w:p>
        </w:tc>
        <w:tc>
          <w:tcPr>
            <w:tcW w:w="1152" w:type="dxa"/>
          </w:tcPr>
          <w:p w:rsidR="00F17939" w:rsidRDefault="00F17939" w:rsidP="00710E36">
            <w:pPr>
              <w:jc w:val="center"/>
            </w:pPr>
            <w:r>
              <w:t>4s</w:t>
            </w:r>
          </w:p>
        </w:tc>
        <w:tc>
          <w:tcPr>
            <w:tcW w:w="1152" w:type="dxa"/>
          </w:tcPr>
          <w:p w:rsidR="00F17939" w:rsidRDefault="00F17939" w:rsidP="00710E36">
            <w:pPr>
              <w:jc w:val="center"/>
            </w:pPr>
            <w:r>
              <w:t>2s</w:t>
            </w:r>
          </w:p>
        </w:tc>
        <w:tc>
          <w:tcPr>
            <w:tcW w:w="1152" w:type="dxa"/>
          </w:tcPr>
          <w:p w:rsidR="00F17939" w:rsidRDefault="00F17939" w:rsidP="00710E36">
            <w:pPr>
              <w:jc w:val="center"/>
            </w:pPr>
            <w:r>
              <w:t>4s</w:t>
            </w:r>
          </w:p>
        </w:tc>
        <w:tc>
          <w:tcPr>
            <w:tcW w:w="1152" w:type="dxa"/>
          </w:tcPr>
          <w:p w:rsidR="00F17939" w:rsidRDefault="00F17939" w:rsidP="00710E36">
            <w:pPr>
              <w:jc w:val="center"/>
            </w:pPr>
            <w:r>
              <w:t>3s</w:t>
            </w:r>
          </w:p>
        </w:tc>
        <w:tc>
          <w:tcPr>
            <w:tcW w:w="1152" w:type="dxa"/>
          </w:tcPr>
          <w:p w:rsidR="00F17939" w:rsidRDefault="00F17939" w:rsidP="00710E36">
            <w:pPr>
              <w:jc w:val="center"/>
            </w:pPr>
            <w:r>
              <w:t>5s</w:t>
            </w:r>
          </w:p>
        </w:tc>
        <w:tc>
          <w:tcPr>
            <w:tcW w:w="864" w:type="dxa"/>
            <w:vAlign w:val="center"/>
          </w:tcPr>
          <w:p w:rsidR="00F17939" w:rsidRDefault="005B3F45" w:rsidP="005B3F45">
            <w:pPr>
              <w:jc w:val="center"/>
            </w:pPr>
            <w:r>
              <w:t>8</w:t>
            </w:r>
          </w:p>
        </w:tc>
      </w:tr>
      <w:tr w:rsidR="00F17939" w:rsidTr="007A5E2B">
        <w:tc>
          <w:tcPr>
            <w:tcW w:w="1440" w:type="dxa"/>
          </w:tcPr>
          <w:p w:rsidR="00F17939" w:rsidRDefault="00F17939" w:rsidP="00710E36">
            <w:pPr>
              <w:jc w:val="center"/>
            </w:pPr>
            <w:r>
              <w:t>1978</w:t>
            </w:r>
          </w:p>
        </w:tc>
        <w:tc>
          <w:tcPr>
            <w:tcW w:w="1152" w:type="dxa"/>
          </w:tcPr>
          <w:p w:rsidR="00F17939" w:rsidRDefault="00F17939" w:rsidP="00710E36">
            <w:pPr>
              <w:jc w:val="center"/>
            </w:pPr>
            <w:r>
              <w:t>30s</w:t>
            </w:r>
          </w:p>
        </w:tc>
        <w:tc>
          <w:tcPr>
            <w:tcW w:w="1152" w:type="dxa"/>
          </w:tcPr>
          <w:p w:rsidR="00F17939" w:rsidRDefault="00F17939" w:rsidP="00710E36">
            <w:pPr>
              <w:jc w:val="center"/>
            </w:pPr>
            <w:r>
              <w:t>50s</w:t>
            </w:r>
          </w:p>
        </w:tc>
        <w:tc>
          <w:tcPr>
            <w:tcW w:w="1152" w:type="dxa"/>
          </w:tcPr>
          <w:p w:rsidR="00F17939" w:rsidRDefault="00F17939" w:rsidP="00120E7D">
            <w:pPr>
              <w:jc w:val="center"/>
            </w:pPr>
            <w:r>
              <w:t>30s</w:t>
            </w:r>
          </w:p>
        </w:tc>
        <w:tc>
          <w:tcPr>
            <w:tcW w:w="1152" w:type="dxa"/>
          </w:tcPr>
          <w:p w:rsidR="00F17939" w:rsidRDefault="00F17939" w:rsidP="00120E7D">
            <w:pPr>
              <w:jc w:val="center"/>
            </w:pPr>
            <w:r>
              <w:t>50s</w:t>
            </w:r>
          </w:p>
        </w:tc>
        <w:tc>
          <w:tcPr>
            <w:tcW w:w="1152" w:type="dxa"/>
          </w:tcPr>
          <w:p w:rsidR="00F17939" w:rsidRDefault="00F17939" w:rsidP="00120E7D">
            <w:pPr>
              <w:jc w:val="center"/>
            </w:pPr>
            <w:r>
              <w:t>30s</w:t>
            </w:r>
          </w:p>
        </w:tc>
        <w:tc>
          <w:tcPr>
            <w:tcW w:w="1152" w:type="dxa"/>
          </w:tcPr>
          <w:p w:rsidR="00F17939" w:rsidRDefault="00F17939" w:rsidP="00120E7D">
            <w:pPr>
              <w:jc w:val="center"/>
            </w:pPr>
            <w:r>
              <w:t>50s</w:t>
            </w:r>
          </w:p>
        </w:tc>
        <w:tc>
          <w:tcPr>
            <w:tcW w:w="864" w:type="dxa"/>
            <w:vAlign w:val="center"/>
          </w:tcPr>
          <w:p w:rsidR="00F17939" w:rsidRDefault="005B3F45" w:rsidP="005B3F45">
            <w:pPr>
              <w:jc w:val="center"/>
            </w:pPr>
            <w:r>
              <w:t>9</w:t>
            </w:r>
          </w:p>
        </w:tc>
      </w:tr>
      <w:tr w:rsidR="00F17939" w:rsidTr="007A5E2B">
        <w:tc>
          <w:tcPr>
            <w:tcW w:w="1440" w:type="dxa"/>
          </w:tcPr>
          <w:p w:rsidR="00F17939" w:rsidRDefault="00F17939" w:rsidP="00710E36">
            <w:pPr>
              <w:jc w:val="center"/>
            </w:pPr>
            <w:r>
              <w:t>1983</w:t>
            </w:r>
          </w:p>
        </w:tc>
        <w:tc>
          <w:tcPr>
            <w:tcW w:w="1152" w:type="dxa"/>
          </w:tcPr>
          <w:p w:rsidR="00F17939" w:rsidRDefault="00F17939" w:rsidP="00710E36">
            <w:pPr>
              <w:jc w:val="center"/>
            </w:pPr>
            <w:r>
              <w:t>200s</w:t>
            </w:r>
          </w:p>
        </w:tc>
        <w:tc>
          <w:tcPr>
            <w:tcW w:w="1152" w:type="dxa"/>
          </w:tcPr>
          <w:p w:rsidR="00F17939" w:rsidRDefault="00F17939" w:rsidP="00710E36">
            <w:pPr>
              <w:jc w:val="center"/>
            </w:pPr>
            <w:r>
              <w:t>300s</w:t>
            </w:r>
          </w:p>
        </w:tc>
        <w:tc>
          <w:tcPr>
            <w:tcW w:w="1152" w:type="dxa"/>
          </w:tcPr>
          <w:p w:rsidR="00F17939" w:rsidRDefault="00F17939" w:rsidP="00120E7D">
            <w:pPr>
              <w:jc w:val="center"/>
            </w:pPr>
            <w:r>
              <w:t>200s</w:t>
            </w:r>
          </w:p>
        </w:tc>
        <w:tc>
          <w:tcPr>
            <w:tcW w:w="1152" w:type="dxa"/>
          </w:tcPr>
          <w:p w:rsidR="00F17939" w:rsidRDefault="00F17939" w:rsidP="00120E7D">
            <w:pPr>
              <w:jc w:val="center"/>
            </w:pPr>
            <w:r>
              <w:t>300s</w:t>
            </w:r>
          </w:p>
        </w:tc>
        <w:tc>
          <w:tcPr>
            <w:tcW w:w="1152" w:type="dxa"/>
          </w:tcPr>
          <w:p w:rsidR="00F17939" w:rsidRDefault="00F17939" w:rsidP="00120E7D">
            <w:pPr>
              <w:jc w:val="center"/>
            </w:pPr>
            <w:r>
              <w:t>200s</w:t>
            </w:r>
          </w:p>
        </w:tc>
        <w:tc>
          <w:tcPr>
            <w:tcW w:w="1152" w:type="dxa"/>
          </w:tcPr>
          <w:p w:rsidR="00F17939" w:rsidRDefault="00F17939" w:rsidP="00120E7D">
            <w:pPr>
              <w:jc w:val="center"/>
            </w:pPr>
            <w:r>
              <w:t>300s</w:t>
            </w:r>
          </w:p>
        </w:tc>
        <w:tc>
          <w:tcPr>
            <w:tcW w:w="864" w:type="dxa"/>
            <w:vAlign w:val="center"/>
          </w:tcPr>
          <w:p w:rsidR="00F17939" w:rsidRDefault="005B3F45" w:rsidP="005B3F45">
            <w:pPr>
              <w:jc w:val="center"/>
            </w:pPr>
            <w:r>
              <w:t>10</w:t>
            </w:r>
          </w:p>
        </w:tc>
      </w:tr>
      <w:tr w:rsidR="00F17939" w:rsidTr="007A5E2B">
        <w:tc>
          <w:tcPr>
            <w:tcW w:w="1440" w:type="dxa"/>
          </w:tcPr>
          <w:p w:rsidR="00F17939" w:rsidRDefault="00F17939" w:rsidP="00710E36">
            <w:pPr>
              <w:jc w:val="center"/>
            </w:pPr>
          </w:p>
        </w:tc>
        <w:tc>
          <w:tcPr>
            <w:tcW w:w="1152" w:type="dxa"/>
          </w:tcPr>
          <w:p w:rsidR="00F17939" w:rsidRDefault="00F17939" w:rsidP="00710E36">
            <w:pPr>
              <w:jc w:val="center"/>
            </w:pPr>
          </w:p>
        </w:tc>
        <w:tc>
          <w:tcPr>
            <w:tcW w:w="1152" w:type="dxa"/>
          </w:tcPr>
          <w:p w:rsidR="00F17939" w:rsidRDefault="00F17939" w:rsidP="00710E36">
            <w:pPr>
              <w:jc w:val="center"/>
            </w:pPr>
          </w:p>
        </w:tc>
        <w:tc>
          <w:tcPr>
            <w:tcW w:w="1152" w:type="dxa"/>
          </w:tcPr>
          <w:p w:rsidR="00F17939" w:rsidRDefault="00F17939" w:rsidP="00710E36">
            <w:pPr>
              <w:jc w:val="center"/>
            </w:pPr>
          </w:p>
        </w:tc>
        <w:tc>
          <w:tcPr>
            <w:tcW w:w="1152" w:type="dxa"/>
          </w:tcPr>
          <w:p w:rsidR="00F17939" w:rsidRDefault="00F17939" w:rsidP="00710E36">
            <w:pPr>
              <w:jc w:val="center"/>
            </w:pPr>
          </w:p>
        </w:tc>
        <w:tc>
          <w:tcPr>
            <w:tcW w:w="1152" w:type="dxa"/>
          </w:tcPr>
          <w:p w:rsidR="00F17939" w:rsidRDefault="00F17939" w:rsidP="00710E36">
            <w:pPr>
              <w:jc w:val="center"/>
            </w:pPr>
          </w:p>
        </w:tc>
        <w:tc>
          <w:tcPr>
            <w:tcW w:w="1152" w:type="dxa"/>
          </w:tcPr>
          <w:p w:rsidR="00F17939" w:rsidRDefault="00F17939" w:rsidP="00710E36">
            <w:pPr>
              <w:jc w:val="center"/>
            </w:pPr>
          </w:p>
        </w:tc>
        <w:tc>
          <w:tcPr>
            <w:tcW w:w="864" w:type="dxa"/>
            <w:vAlign w:val="center"/>
          </w:tcPr>
          <w:p w:rsidR="00F17939" w:rsidRDefault="00F17939" w:rsidP="007A5E2B">
            <w:pPr>
              <w:jc w:val="center"/>
            </w:pPr>
          </w:p>
        </w:tc>
      </w:tr>
    </w:tbl>
    <w:p w:rsidR="007A5E2B" w:rsidRDefault="007A5E2B"/>
    <w:p w:rsidR="00F9574B" w:rsidRPr="0036021D" w:rsidRDefault="00950227" w:rsidP="0036021D">
      <w:pPr>
        <w:pStyle w:val="ListParagraph"/>
        <w:numPr>
          <w:ilvl w:val="0"/>
          <w:numId w:val="2"/>
        </w:numPr>
        <w:rPr>
          <w:lang w:val="es-PE"/>
        </w:rPr>
      </w:pPr>
      <w:r w:rsidRPr="0036021D">
        <w:rPr>
          <w:lang w:val="es-PE"/>
        </w:rPr>
        <w:t>Boletín Postal Y Telegráfico, No. 42, December 31, 1897, page 332</w:t>
      </w:r>
    </w:p>
    <w:p w:rsidR="002068D7" w:rsidRPr="00E232DF" w:rsidRDefault="002068D7" w:rsidP="00E232DF">
      <w:pPr>
        <w:pStyle w:val="ListParagraph"/>
        <w:numPr>
          <w:ilvl w:val="0"/>
          <w:numId w:val="2"/>
        </w:numPr>
        <w:rPr>
          <w:lang w:val="es-PE"/>
        </w:rPr>
      </w:pPr>
      <w:r w:rsidRPr="00E232DF">
        <w:rPr>
          <w:lang w:val="es-PE"/>
        </w:rPr>
        <w:t>Boletín Postal Y Telegráfico, No. 176, August 31, 1911, Congreso Postal Continental Sudamericano de Montevideo, page 4</w:t>
      </w:r>
      <w:r w:rsidR="00370C13" w:rsidRPr="00E232DF">
        <w:rPr>
          <w:lang w:val="es-PE"/>
        </w:rPr>
        <w:t xml:space="preserve">           </w:t>
      </w:r>
    </w:p>
    <w:p w:rsidR="006F42D1" w:rsidRDefault="001C4CBB" w:rsidP="006F42D1">
      <w:pPr>
        <w:pStyle w:val="ListParagraph"/>
        <w:numPr>
          <w:ilvl w:val="0"/>
          <w:numId w:val="2"/>
        </w:numPr>
        <w:rPr>
          <w:lang w:val="es-PE"/>
        </w:rPr>
      </w:pPr>
      <w:r>
        <w:t xml:space="preserve">Protocol of </w:t>
      </w:r>
      <w:r w:rsidR="00B2305B">
        <w:t>8</w:t>
      </w:r>
      <w:r w:rsidR="00B2305B" w:rsidRPr="001C4CBB">
        <w:rPr>
          <w:vertAlign w:val="superscript"/>
        </w:rPr>
        <w:t>th</w:t>
      </w:r>
      <w:r w:rsidR="00B2305B">
        <w:t xml:space="preserve"> UPU Congress at Stockholm in 1924</w:t>
      </w:r>
      <w:r>
        <w:t xml:space="preserve">. </w:t>
      </w:r>
      <w:proofErr w:type="spellStart"/>
      <w:r w:rsidRPr="001C4CBB">
        <w:rPr>
          <w:lang w:val="es-PE"/>
        </w:rPr>
        <w:t>Also</w:t>
      </w:r>
      <w:proofErr w:type="spellEnd"/>
      <w:r w:rsidR="00E232DF">
        <w:rPr>
          <w:lang w:val="es-PE"/>
        </w:rPr>
        <w:t>,</w:t>
      </w:r>
      <w:r w:rsidRPr="001C4CBB">
        <w:rPr>
          <w:lang w:val="es-PE"/>
        </w:rPr>
        <w:t xml:space="preserve"> </w:t>
      </w:r>
      <w:proofErr w:type="spellStart"/>
      <w:r w:rsidRPr="001C4CBB">
        <w:rPr>
          <w:lang w:val="es-PE"/>
        </w:rPr>
        <w:t>see</w:t>
      </w:r>
      <w:proofErr w:type="spellEnd"/>
      <w:r w:rsidRPr="001C4CBB">
        <w:rPr>
          <w:lang w:val="es-PE"/>
        </w:rPr>
        <w:t xml:space="preserve"> Boletín Postal Y Telegráfico, No. 255, October 31, 1924, pages 454-455 and 461-463.</w:t>
      </w:r>
    </w:p>
    <w:p w:rsidR="005B3F45" w:rsidRPr="001C4CBB" w:rsidRDefault="005B3F45" w:rsidP="006F42D1">
      <w:pPr>
        <w:pStyle w:val="ListParagraph"/>
        <w:numPr>
          <w:ilvl w:val="0"/>
          <w:numId w:val="2"/>
        </w:numPr>
        <w:rPr>
          <w:lang w:val="es-PE"/>
        </w:rPr>
      </w:pPr>
      <w:r>
        <w:rPr>
          <w:lang w:val="es-PE"/>
        </w:rPr>
        <w:t>July 1951 United States Postal Guide</w:t>
      </w:r>
    </w:p>
    <w:p w:rsidR="00EF2143" w:rsidRDefault="00EF2143" w:rsidP="00D43D93">
      <w:pPr>
        <w:pStyle w:val="ListParagraph"/>
        <w:numPr>
          <w:ilvl w:val="0"/>
          <w:numId w:val="2"/>
        </w:numPr>
        <w:rPr>
          <w:lang w:val="es-PE"/>
        </w:rPr>
      </w:pPr>
      <w:r>
        <w:rPr>
          <w:lang w:val="es-PE"/>
        </w:rPr>
        <w:t xml:space="preserve">1958 Tarifas Postales </w:t>
      </w:r>
    </w:p>
    <w:p w:rsidR="00EF2143" w:rsidRDefault="00EF2143" w:rsidP="00D43D93">
      <w:pPr>
        <w:pStyle w:val="ListParagraph"/>
        <w:numPr>
          <w:ilvl w:val="0"/>
          <w:numId w:val="2"/>
        </w:numPr>
        <w:rPr>
          <w:lang w:val="es-PE"/>
        </w:rPr>
      </w:pPr>
      <w:r>
        <w:rPr>
          <w:lang w:val="es-PE"/>
        </w:rPr>
        <w:t>1960 Tarifas Postales</w:t>
      </w:r>
    </w:p>
    <w:p w:rsidR="00EF2143" w:rsidRDefault="00EF2143" w:rsidP="00D43D93">
      <w:pPr>
        <w:pStyle w:val="ListParagraph"/>
        <w:numPr>
          <w:ilvl w:val="0"/>
          <w:numId w:val="2"/>
        </w:numPr>
        <w:rPr>
          <w:lang w:val="es-PE"/>
        </w:rPr>
      </w:pPr>
      <w:r>
        <w:rPr>
          <w:lang w:val="es-PE"/>
        </w:rPr>
        <w:t>1962 Tarifas Postales</w:t>
      </w:r>
    </w:p>
    <w:p w:rsidR="00EF2143" w:rsidRDefault="0034090B" w:rsidP="00D43D93">
      <w:pPr>
        <w:pStyle w:val="ListParagraph"/>
        <w:numPr>
          <w:ilvl w:val="0"/>
          <w:numId w:val="2"/>
        </w:numPr>
        <w:rPr>
          <w:lang w:val="es-PE"/>
        </w:rPr>
      </w:pPr>
      <w:r>
        <w:rPr>
          <w:lang w:val="es-PE"/>
        </w:rPr>
        <w:t>1964 Tarifas Postales</w:t>
      </w:r>
    </w:p>
    <w:p w:rsidR="0034090B" w:rsidRDefault="0034090B" w:rsidP="00D43D93">
      <w:pPr>
        <w:pStyle w:val="ListParagraph"/>
        <w:numPr>
          <w:ilvl w:val="0"/>
          <w:numId w:val="2"/>
        </w:numPr>
        <w:rPr>
          <w:lang w:val="es-PE"/>
        </w:rPr>
      </w:pPr>
      <w:r>
        <w:rPr>
          <w:lang w:val="es-PE"/>
        </w:rPr>
        <w:t>1978 Tarifas Postales</w:t>
      </w:r>
    </w:p>
    <w:p w:rsidR="0034090B" w:rsidRDefault="0034090B" w:rsidP="00D43D93">
      <w:pPr>
        <w:pStyle w:val="ListParagraph"/>
        <w:numPr>
          <w:ilvl w:val="0"/>
          <w:numId w:val="2"/>
        </w:numPr>
        <w:rPr>
          <w:lang w:val="es-PE"/>
        </w:rPr>
      </w:pPr>
      <w:r>
        <w:rPr>
          <w:lang w:val="es-PE"/>
        </w:rPr>
        <w:t xml:space="preserve">1983 Tarifas </w:t>
      </w:r>
      <w:r w:rsidR="00B52620">
        <w:rPr>
          <w:lang w:val="es-PE"/>
        </w:rPr>
        <w:t xml:space="preserve">Del Servicio </w:t>
      </w:r>
      <w:r>
        <w:rPr>
          <w:lang w:val="es-PE"/>
        </w:rPr>
        <w:t>Postal</w:t>
      </w:r>
    </w:p>
    <w:p w:rsidR="002A3065" w:rsidRPr="00C71FF2" w:rsidRDefault="002A3065" w:rsidP="00C71FF2">
      <w:pPr>
        <w:pStyle w:val="ListParagraph"/>
        <w:ind w:left="360"/>
        <w:rPr>
          <w:lang w:val="es-PE"/>
        </w:rPr>
      </w:pPr>
    </w:p>
    <w:sectPr w:rsidR="002A3065" w:rsidRPr="00C71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9FF"/>
    <w:multiLevelType w:val="hybridMultilevel"/>
    <w:tmpl w:val="FD229070"/>
    <w:lvl w:ilvl="0" w:tplc="504E5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C55AF"/>
    <w:multiLevelType w:val="hybridMultilevel"/>
    <w:tmpl w:val="AB2AE974"/>
    <w:lvl w:ilvl="0" w:tplc="F26CA72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377A98"/>
    <w:multiLevelType w:val="hybridMultilevel"/>
    <w:tmpl w:val="DB14467A"/>
    <w:lvl w:ilvl="0" w:tplc="2A4299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2A760E"/>
    <w:multiLevelType w:val="hybridMultilevel"/>
    <w:tmpl w:val="5BC86810"/>
    <w:lvl w:ilvl="0" w:tplc="11B6CA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36"/>
    <w:rsid w:val="000117B8"/>
    <w:rsid w:val="000F6D0F"/>
    <w:rsid w:val="0019137F"/>
    <w:rsid w:val="001C4CBB"/>
    <w:rsid w:val="002068D7"/>
    <w:rsid w:val="0022036F"/>
    <w:rsid w:val="00230A8D"/>
    <w:rsid w:val="002A3065"/>
    <w:rsid w:val="002D5CCD"/>
    <w:rsid w:val="0034090B"/>
    <w:rsid w:val="0036021D"/>
    <w:rsid w:val="00370C13"/>
    <w:rsid w:val="00375C51"/>
    <w:rsid w:val="00435B4C"/>
    <w:rsid w:val="004B050D"/>
    <w:rsid w:val="00551922"/>
    <w:rsid w:val="005622A6"/>
    <w:rsid w:val="00570BC9"/>
    <w:rsid w:val="005B3F45"/>
    <w:rsid w:val="006646DA"/>
    <w:rsid w:val="006B11A7"/>
    <w:rsid w:val="006C3309"/>
    <w:rsid w:val="006D1CD4"/>
    <w:rsid w:val="006F42D1"/>
    <w:rsid w:val="00710E36"/>
    <w:rsid w:val="007A5E2B"/>
    <w:rsid w:val="007E54D9"/>
    <w:rsid w:val="0086292E"/>
    <w:rsid w:val="00872821"/>
    <w:rsid w:val="008D3771"/>
    <w:rsid w:val="00950227"/>
    <w:rsid w:val="009D4BA5"/>
    <w:rsid w:val="00A63C14"/>
    <w:rsid w:val="00A75366"/>
    <w:rsid w:val="00B2305B"/>
    <w:rsid w:val="00B52620"/>
    <w:rsid w:val="00C71FF2"/>
    <w:rsid w:val="00CC7F5D"/>
    <w:rsid w:val="00D07356"/>
    <w:rsid w:val="00D43D93"/>
    <w:rsid w:val="00D860B3"/>
    <w:rsid w:val="00DA4E2E"/>
    <w:rsid w:val="00DE3493"/>
    <w:rsid w:val="00E232DF"/>
    <w:rsid w:val="00E4532E"/>
    <w:rsid w:val="00EC381C"/>
    <w:rsid w:val="00ED1737"/>
    <w:rsid w:val="00EF2143"/>
    <w:rsid w:val="00EF5F91"/>
    <w:rsid w:val="00F07689"/>
    <w:rsid w:val="00F17939"/>
    <w:rsid w:val="00F9574B"/>
    <w:rsid w:val="00FC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86292E"/>
  </w:style>
  <w:style w:type="character" w:customStyle="1" w:styleId="alt-edited1">
    <w:name w:val="alt-edited1"/>
    <w:basedOn w:val="DefaultParagraphFont"/>
    <w:rsid w:val="0086292E"/>
    <w:rPr>
      <w:color w:val="4D90F0"/>
    </w:rPr>
  </w:style>
  <w:style w:type="paragraph" w:styleId="ListParagraph">
    <w:name w:val="List Paragraph"/>
    <w:basedOn w:val="Normal"/>
    <w:uiPriority w:val="34"/>
    <w:qFormat/>
    <w:rsid w:val="007A5E2B"/>
    <w:pPr>
      <w:ind w:left="720"/>
      <w:contextualSpacing/>
    </w:pPr>
  </w:style>
  <w:style w:type="paragraph" w:styleId="NoSpacing">
    <w:name w:val="No Spacing"/>
    <w:uiPriority w:val="1"/>
    <w:qFormat/>
    <w:rsid w:val="00D43D93"/>
    <w:pPr>
      <w:spacing w:after="0" w:line="240" w:lineRule="auto"/>
    </w:pPr>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86292E"/>
  </w:style>
  <w:style w:type="character" w:customStyle="1" w:styleId="alt-edited1">
    <w:name w:val="alt-edited1"/>
    <w:basedOn w:val="DefaultParagraphFont"/>
    <w:rsid w:val="0086292E"/>
    <w:rPr>
      <w:color w:val="4D90F0"/>
    </w:rPr>
  </w:style>
  <w:style w:type="paragraph" w:styleId="ListParagraph">
    <w:name w:val="List Paragraph"/>
    <w:basedOn w:val="Normal"/>
    <w:uiPriority w:val="34"/>
    <w:qFormat/>
    <w:rsid w:val="007A5E2B"/>
    <w:pPr>
      <w:ind w:left="720"/>
      <w:contextualSpacing/>
    </w:pPr>
  </w:style>
  <w:style w:type="paragraph" w:styleId="NoSpacing">
    <w:name w:val="No Spacing"/>
    <w:uiPriority w:val="1"/>
    <w:qFormat/>
    <w:rsid w:val="00D43D93"/>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96650">
      <w:bodyDiv w:val="1"/>
      <w:marLeft w:val="0"/>
      <w:marRight w:val="0"/>
      <w:marTop w:val="0"/>
      <w:marBottom w:val="0"/>
      <w:divBdr>
        <w:top w:val="none" w:sz="0" w:space="0" w:color="auto"/>
        <w:left w:val="none" w:sz="0" w:space="0" w:color="auto"/>
        <w:bottom w:val="none" w:sz="0" w:space="0" w:color="auto"/>
        <w:right w:val="none" w:sz="0" w:space="0" w:color="auto"/>
      </w:divBdr>
      <w:divsChild>
        <w:div w:id="1777559081">
          <w:marLeft w:val="0"/>
          <w:marRight w:val="0"/>
          <w:marTop w:val="0"/>
          <w:marBottom w:val="0"/>
          <w:divBdr>
            <w:top w:val="none" w:sz="0" w:space="0" w:color="auto"/>
            <w:left w:val="none" w:sz="0" w:space="0" w:color="auto"/>
            <w:bottom w:val="none" w:sz="0" w:space="0" w:color="auto"/>
            <w:right w:val="none" w:sz="0" w:space="0" w:color="auto"/>
          </w:divBdr>
          <w:divsChild>
            <w:div w:id="52853588">
              <w:marLeft w:val="0"/>
              <w:marRight w:val="0"/>
              <w:marTop w:val="0"/>
              <w:marBottom w:val="0"/>
              <w:divBdr>
                <w:top w:val="none" w:sz="0" w:space="0" w:color="auto"/>
                <w:left w:val="none" w:sz="0" w:space="0" w:color="auto"/>
                <w:bottom w:val="none" w:sz="0" w:space="0" w:color="auto"/>
                <w:right w:val="none" w:sz="0" w:space="0" w:color="auto"/>
              </w:divBdr>
              <w:divsChild>
                <w:div w:id="633751624">
                  <w:marLeft w:val="0"/>
                  <w:marRight w:val="0"/>
                  <w:marTop w:val="0"/>
                  <w:marBottom w:val="0"/>
                  <w:divBdr>
                    <w:top w:val="none" w:sz="0" w:space="0" w:color="auto"/>
                    <w:left w:val="none" w:sz="0" w:space="0" w:color="auto"/>
                    <w:bottom w:val="none" w:sz="0" w:space="0" w:color="auto"/>
                    <w:right w:val="none" w:sz="0" w:space="0" w:color="auto"/>
                  </w:divBdr>
                  <w:divsChild>
                    <w:div w:id="1578443703">
                      <w:marLeft w:val="0"/>
                      <w:marRight w:val="0"/>
                      <w:marTop w:val="0"/>
                      <w:marBottom w:val="0"/>
                      <w:divBdr>
                        <w:top w:val="none" w:sz="0" w:space="0" w:color="auto"/>
                        <w:left w:val="none" w:sz="0" w:space="0" w:color="auto"/>
                        <w:bottom w:val="none" w:sz="0" w:space="0" w:color="auto"/>
                        <w:right w:val="none" w:sz="0" w:space="0" w:color="auto"/>
                      </w:divBdr>
                      <w:divsChild>
                        <w:div w:id="1875924200">
                          <w:marLeft w:val="0"/>
                          <w:marRight w:val="0"/>
                          <w:marTop w:val="0"/>
                          <w:marBottom w:val="0"/>
                          <w:divBdr>
                            <w:top w:val="none" w:sz="0" w:space="0" w:color="auto"/>
                            <w:left w:val="none" w:sz="0" w:space="0" w:color="auto"/>
                            <w:bottom w:val="none" w:sz="0" w:space="0" w:color="auto"/>
                            <w:right w:val="none" w:sz="0" w:space="0" w:color="auto"/>
                          </w:divBdr>
                          <w:divsChild>
                            <w:div w:id="1817063894">
                              <w:marLeft w:val="0"/>
                              <w:marRight w:val="0"/>
                              <w:marTop w:val="0"/>
                              <w:marBottom w:val="0"/>
                              <w:divBdr>
                                <w:top w:val="none" w:sz="0" w:space="0" w:color="auto"/>
                                <w:left w:val="none" w:sz="0" w:space="0" w:color="auto"/>
                                <w:bottom w:val="none" w:sz="0" w:space="0" w:color="auto"/>
                                <w:right w:val="none" w:sz="0" w:space="0" w:color="auto"/>
                              </w:divBdr>
                              <w:divsChild>
                                <w:div w:id="1472939292">
                                  <w:marLeft w:val="0"/>
                                  <w:marRight w:val="0"/>
                                  <w:marTop w:val="0"/>
                                  <w:marBottom w:val="0"/>
                                  <w:divBdr>
                                    <w:top w:val="none" w:sz="0" w:space="0" w:color="auto"/>
                                    <w:left w:val="none" w:sz="0" w:space="0" w:color="auto"/>
                                    <w:bottom w:val="none" w:sz="0" w:space="0" w:color="auto"/>
                                    <w:right w:val="none" w:sz="0" w:space="0" w:color="auto"/>
                                  </w:divBdr>
                                  <w:divsChild>
                                    <w:div w:id="1426918807">
                                      <w:marLeft w:val="60"/>
                                      <w:marRight w:val="0"/>
                                      <w:marTop w:val="0"/>
                                      <w:marBottom w:val="0"/>
                                      <w:divBdr>
                                        <w:top w:val="none" w:sz="0" w:space="0" w:color="auto"/>
                                        <w:left w:val="none" w:sz="0" w:space="0" w:color="auto"/>
                                        <w:bottom w:val="none" w:sz="0" w:space="0" w:color="auto"/>
                                        <w:right w:val="none" w:sz="0" w:space="0" w:color="auto"/>
                                      </w:divBdr>
                                      <w:divsChild>
                                        <w:div w:id="714431136">
                                          <w:marLeft w:val="0"/>
                                          <w:marRight w:val="0"/>
                                          <w:marTop w:val="0"/>
                                          <w:marBottom w:val="0"/>
                                          <w:divBdr>
                                            <w:top w:val="none" w:sz="0" w:space="0" w:color="auto"/>
                                            <w:left w:val="none" w:sz="0" w:space="0" w:color="auto"/>
                                            <w:bottom w:val="none" w:sz="0" w:space="0" w:color="auto"/>
                                            <w:right w:val="none" w:sz="0" w:space="0" w:color="auto"/>
                                          </w:divBdr>
                                          <w:divsChild>
                                            <w:div w:id="1849517107">
                                              <w:marLeft w:val="0"/>
                                              <w:marRight w:val="0"/>
                                              <w:marTop w:val="0"/>
                                              <w:marBottom w:val="120"/>
                                              <w:divBdr>
                                                <w:top w:val="single" w:sz="6" w:space="0" w:color="F5F5F5"/>
                                                <w:left w:val="single" w:sz="6" w:space="0" w:color="F5F5F5"/>
                                                <w:bottom w:val="single" w:sz="6" w:space="0" w:color="F5F5F5"/>
                                                <w:right w:val="single" w:sz="6" w:space="0" w:color="F5F5F5"/>
                                              </w:divBdr>
                                              <w:divsChild>
                                                <w:div w:id="1374576488">
                                                  <w:marLeft w:val="0"/>
                                                  <w:marRight w:val="0"/>
                                                  <w:marTop w:val="0"/>
                                                  <w:marBottom w:val="0"/>
                                                  <w:divBdr>
                                                    <w:top w:val="none" w:sz="0" w:space="0" w:color="auto"/>
                                                    <w:left w:val="none" w:sz="0" w:space="0" w:color="auto"/>
                                                    <w:bottom w:val="none" w:sz="0" w:space="0" w:color="auto"/>
                                                    <w:right w:val="none" w:sz="0" w:space="0" w:color="auto"/>
                                                  </w:divBdr>
                                                  <w:divsChild>
                                                    <w:div w:id="346369820">
                                                      <w:marLeft w:val="0"/>
                                                      <w:marRight w:val="0"/>
                                                      <w:marTop w:val="0"/>
                                                      <w:marBottom w:val="0"/>
                                                      <w:divBdr>
                                                        <w:top w:val="none" w:sz="0" w:space="0" w:color="auto"/>
                                                        <w:left w:val="none" w:sz="0" w:space="0" w:color="auto"/>
                                                        <w:bottom w:val="none" w:sz="0" w:space="0" w:color="auto"/>
                                                        <w:right w:val="none" w:sz="0" w:space="0" w:color="auto"/>
                                                      </w:divBdr>
                                                    </w:div>
                                                  </w:divsChild>
                                                </w:div>
                                                <w:div w:id="304821259">
                                                  <w:marLeft w:val="0"/>
                                                  <w:marRight w:val="0"/>
                                                  <w:marTop w:val="0"/>
                                                  <w:marBottom w:val="0"/>
                                                  <w:divBdr>
                                                    <w:top w:val="none" w:sz="0" w:space="0" w:color="auto"/>
                                                    <w:left w:val="none" w:sz="0" w:space="0" w:color="auto"/>
                                                    <w:bottom w:val="none" w:sz="0" w:space="0" w:color="auto"/>
                                                    <w:right w:val="none" w:sz="0" w:space="0" w:color="auto"/>
                                                  </w:divBdr>
                                                  <w:divsChild>
                                                    <w:div w:id="956371916">
                                                      <w:marLeft w:val="0"/>
                                                      <w:marRight w:val="0"/>
                                                      <w:marTop w:val="0"/>
                                                      <w:marBottom w:val="0"/>
                                                      <w:divBdr>
                                                        <w:top w:val="none" w:sz="0" w:space="0" w:color="auto"/>
                                                        <w:left w:val="none" w:sz="0" w:space="0" w:color="auto"/>
                                                        <w:bottom w:val="none" w:sz="0" w:space="0" w:color="auto"/>
                                                        <w:right w:val="none" w:sz="0" w:space="0" w:color="auto"/>
                                                      </w:divBdr>
                                                    </w:div>
                                                  </w:divsChild>
                                                </w:div>
                                                <w:div w:id="431512115">
                                                  <w:marLeft w:val="0"/>
                                                  <w:marRight w:val="0"/>
                                                  <w:marTop w:val="0"/>
                                                  <w:marBottom w:val="0"/>
                                                  <w:divBdr>
                                                    <w:top w:val="none" w:sz="0" w:space="0" w:color="auto"/>
                                                    <w:left w:val="none" w:sz="0" w:space="0" w:color="auto"/>
                                                    <w:bottom w:val="none" w:sz="0" w:space="0" w:color="auto"/>
                                                    <w:right w:val="none" w:sz="0" w:space="0" w:color="auto"/>
                                                  </w:divBdr>
                                                  <w:divsChild>
                                                    <w:div w:id="480927765">
                                                      <w:marLeft w:val="0"/>
                                                      <w:marRight w:val="0"/>
                                                      <w:marTop w:val="0"/>
                                                      <w:marBottom w:val="0"/>
                                                      <w:divBdr>
                                                        <w:top w:val="none" w:sz="0" w:space="0" w:color="auto"/>
                                                        <w:left w:val="none" w:sz="0" w:space="0" w:color="auto"/>
                                                        <w:bottom w:val="none" w:sz="0" w:space="0" w:color="auto"/>
                                                        <w:right w:val="none" w:sz="0" w:space="0" w:color="auto"/>
                                                      </w:divBdr>
                                                      <w:divsChild>
                                                        <w:div w:id="733511400">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Wooster</dc:creator>
  <cp:lastModifiedBy>Chuck Wooster</cp:lastModifiedBy>
  <cp:revision>3</cp:revision>
  <dcterms:created xsi:type="dcterms:W3CDTF">2015-07-05T21:38:00Z</dcterms:created>
  <dcterms:modified xsi:type="dcterms:W3CDTF">2015-07-05T21:46:00Z</dcterms:modified>
</cp:coreProperties>
</file>